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MSCI thoroughly before writing the preview. Let me start by gathering recent earnings materials, filings, and news.Let me read the most recent earnings materials and the recent Private Assets webinar.Now let me get the year-ago Q2 2025 results for comparison, recent stock performance, and analyst expectations.Let me read the Q2 2025 release (year-ago comparison), the recent Private Assets webinar (stock dropped sharply that day), and search for recent news/analyst expectations.Let me get analyst consensus expectations and any recent news via web search.I now have a comprehensive picture. Here is the earnings preview.</w:t>
      </w:r>
    </w:p>
    <w:p>
      <w:r>
        <w:pict>
          <v:rect style="width:0;height:1.5pt" o:hralign="center" o:hrstd="t" o:hr="t"/>
        </w:pict>
      </w:r>
    </w:p>
    <w:bookmarkStart w:id="23" w:name="X10b2ddaf7c5eac1873af725253b706ebf65a7bf"/>
    <w:p>
      <w:pPr>
        <w:pStyle w:val="Heading1"/>
      </w:pPr>
      <w:r>
        <w:t xml:space="preserve">MSCI Inc. (NYSE: MSCI) — Q2 2026 Earnings Preview</w:t>
      </w:r>
    </w:p>
    <w:bookmarkStart w:id="9" w:name="X76f12ceeb31b84fa5940c20fbd1a15d426d33f1"/>
    <w:p>
      <w:pPr>
        <w:pStyle w:val="Heading3"/>
      </w:pPr>
      <w:r>
        <w:t xml:space="preserve">Reports before market open, Tuesday, July 21, 2026 | Conference call 11:00 AM ET</w:t>
      </w:r>
    </w:p>
    <w:p>
      <w:r>
        <w:pict>
          <v:rect style="width:0;height:1.5pt" o:hralign="center" o:hrstd="t" o:hr="t"/>
        </w:pict>
      </w:r>
    </w:p>
    <w:bookmarkEnd w:id="9"/>
    <w:bookmarkStart w:id="10" w:name="the-setup-in-one-line"/>
    <w:p>
      <w:pPr>
        <w:pStyle w:val="Heading2"/>
      </w:pPr>
      <w:r>
        <w:t xml:space="preserve">The setup in one line</w:t>
      </w:r>
    </w:p>
    <w:p>
      <w:pPr>
        <w:pStyle w:val="FirstParagraph"/>
      </w:pPr>
      <w:r>
        <w:t xml:space="preserve">MSCI heads into Q2 with the strongest operating momentum it has shown in years, a raging tailwind from record international-equity ETF flows, and a stock trading near all-time highs. The bar is high, and the question is less "will it be a good quarter" than "is the recent re-acceleration durable, and is it already priced in?"</w:t>
      </w:r>
    </w:p>
    <w:p>
      <w:r>
        <w:pict>
          <v:rect style="width:0;height:1.5pt" o:hralign="center" o:hrstd="t" o:hr="t"/>
        </w:pict>
      </w:r>
    </w:p>
    <w:bookmarkEnd w:id="10"/>
    <w:bookmarkStart w:id="11" w:name="what-the-street-expects"/>
    <w:p>
      <w:pPr>
        <w:pStyle w:val="Heading2"/>
      </w:pPr>
      <w:r>
        <w:t xml:space="preserve">What the Street expects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Consensus</w:t>
            </w:r>
          </w:p>
        </w:tc>
        <w:tc>
          <w:tcPr/>
          <w:p>
            <w:pPr>
              <w:pStyle w:val="Compact"/>
            </w:pPr>
            <w:r>
              <w:t xml:space="preserve">Q2 2025 Actual</w:t>
            </w:r>
          </w:p>
        </w:tc>
        <w:tc>
          <w:tcPr/>
          <w:p>
            <w:pPr>
              <w:pStyle w:val="Compact"/>
            </w:pPr>
            <w:r>
              <w:t xml:space="preserve">Implied Y/Y</w:t>
            </w:r>
          </w:p>
        </w:tc>
      </w:tr>
      <w:tr>
        <w:tc>
          <w:tcPr/>
          <w:p>
            <w:pPr>
              <w:pStyle w:val="Compact"/>
            </w:pPr>
            <w:r>
              <w:t xml:space="preserve">Adjusted EPS</w:t>
            </w:r>
          </w:p>
        </w:tc>
        <w:tc>
          <w:tcPr/>
          <w:p>
            <w:pPr>
              <w:pStyle w:val="Compact"/>
            </w:pPr>
            <w:r>
              <w:t xml:space="preserve">~$4.85–4.95 (Zacks $4.89)</w:t>
            </w:r>
          </w:p>
        </w:tc>
        <w:tc>
          <w:tcPr/>
          <w:p>
            <w:pPr>
              <w:pStyle w:val="Compact"/>
            </w:pPr>
            <w:r>
              <w:t xml:space="preserve">$4.17</w:t>
            </w:r>
          </w:p>
        </w:tc>
        <w:tc>
          <w:tcPr/>
          <w:p>
            <w:pPr>
              <w:pStyle w:val="Compact"/>
            </w:pPr>
            <w:r>
              <w:t xml:space="preserve">~+16–18%</w:t>
            </w:r>
          </w:p>
        </w:tc>
      </w:tr>
      <w:tr>
        <w:tc>
          <w:tcPr/>
          <w:p>
            <w:pPr>
              <w:pStyle w:val="Compact"/>
            </w:pPr>
            <w:r>
              <w:t xml:space="preserve">Revenue</w:t>
            </w:r>
          </w:p>
        </w:tc>
        <w:tc>
          <w:tcPr/>
          <w:p>
            <w:pPr>
              <w:pStyle w:val="Compact"/>
            </w:pPr>
            <w:r>
              <w:t xml:space="preserve">~$875–880M</w:t>
            </w:r>
          </w:p>
        </w:tc>
        <w:tc>
          <w:tcPr/>
          <w:p>
            <w:pPr>
              <w:pStyle w:val="Compact"/>
            </w:pPr>
            <w:r>
              <w:t xml:space="preserve">$772.7M</w:t>
            </w:r>
          </w:p>
        </w:tc>
        <w:tc>
          <w:tcPr/>
          <w:p>
            <w:pPr>
              <w:pStyle w:val="Compact"/>
            </w:pPr>
            <w:r>
              <w:t xml:space="preserve">~+13–14%</w:t>
            </w:r>
          </w:p>
        </w:tc>
      </w:tr>
      <w:tr>
        <w:tc>
          <w:tcPr/>
          <w:p>
            <w:pPr>
              <w:pStyle w:val="Compact"/>
            </w:pPr>
            <w:r>
              <w:t xml:space="preserve">Adj. EBITDA margin</w:t>
            </w:r>
          </w:p>
        </w:tc>
        <w:tc>
          <w:tcPr/>
          <w:p>
            <w:pPr>
              <w:pStyle w:val="Compact"/>
            </w:pPr>
            <w:r>
              <w:t xml:space="preserve">low-60s%</w:t>
            </w:r>
          </w:p>
        </w:tc>
        <w:tc>
          <w:tcPr/>
          <w:p>
            <w:pPr>
              <w:pStyle w:val="Compact"/>
            </w:pPr>
            <w:r>
              <w:t xml:space="preserve">61.4%</w:t>
            </w:r>
          </w:p>
        </w:tc>
        <w:tc>
          <w:tcPr/>
          <w:p>
            <w:pPr>
              <w:pStyle w:val="Compact"/>
            </w:pPr>
            <w:r>
              <w:t xml:space="preserve">—</w:t>
            </w:r>
          </w:p>
        </w:tc>
      </w:tr>
    </w:tbl>
    <w:p>
      <w:pPr>
        <w:pStyle w:val="Compact"/>
        <w:numPr>
          <w:ilvl w:val="0"/>
          <w:numId w:val="1001"/>
        </w:numPr>
      </w:pPr>
      <w:r>
        <w:t xml:space="preserve">MSCI has</w:t>
      </w:r>
      <w:r>
        <w:t xml:space="preserve"> </w:t>
      </w:r>
      <w:r>
        <w:rPr>
          <w:b/>
          <w:bCs/>
        </w:rPr>
        <w:t xml:space="preserve">beaten EPS in each of the last several quarters</w:t>
      </w:r>
      <w:r>
        <w:t xml:space="preserve">, so a modest beat is largely expected.</w:t>
      </w:r>
    </w:p>
    <w:p>
      <w:pPr>
        <w:pStyle w:val="Compact"/>
        <w:numPr>
          <w:ilvl w:val="0"/>
          <w:numId w:val="1001"/>
        </w:numPr>
      </w:pPr>
      <w:r>
        <w:t xml:space="preserve">Sell-side has been raising targets into the print:</w:t>
      </w:r>
      <w:r>
        <w:t xml:space="preserve"> </w:t>
      </w:r>
      <w:r>
        <w:rPr>
          <w:b/>
          <w:bCs/>
        </w:rPr>
        <w:t xml:space="preserve">Raymond James $760 (Strong Buy), Barclays $735 (OW), BofA</w:t>
      </w:r>
      <w:r>
        <w:rPr>
          <w:b/>
          <w:bCs/>
        </w:rPr>
        <w:t xml:space="preserve"> </w:t>
      </w:r>
      <m:oMath>
        <m:r>
          <m:t>730</m:t>
        </m:r>
        <m:r>
          <m:rPr>
            <m:sty m:val="p"/>
          </m:rPr>
          <m:t>(</m:t>
        </m:r>
        <m:r>
          <m:t>B</m:t>
        </m:r>
        <m:r>
          <m:t>u</m:t>
        </m:r>
        <m:r>
          <m:t>y</m:t>
        </m:r>
        <m:r>
          <m:rPr>
            <m:sty m:val="p"/>
          </m:rPr>
          <m:t>)</m:t>
        </m:r>
        <m:r>
          <m:rPr>
            <m:sty m:val="p"/>
          </m:rPr>
          <m:t>*</m:t>
        </m:r>
        <m:r>
          <m:rPr>
            <m:sty m:val="p"/>
          </m:rPr>
          <m:t>*</m:t>
        </m:r>
        <m:r>
          <m:rPr>
            <m:sty m:val="p"/>
          </m:rPr>
          <m:t>,</m:t>
        </m:r>
        <m:r>
          <m:t>a</m:t>
        </m:r>
        <m:r>
          <m:t>g</m:t>
        </m:r>
        <m:r>
          <m:t>a</m:t>
        </m:r>
        <m:r>
          <m:t>i</m:t>
        </m:r>
        <m:r>
          <m:t>n</m:t>
        </m:r>
        <m:r>
          <m:t>s</m:t>
        </m:r>
        <m:r>
          <m:t>t</m:t>
        </m:r>
        <m:r>
          <m:t>a</m:t>
        </m:r>
        <m:r>
          <m:t>s</m:t>
        </m:r>
        <m:r>
          <m:t>t</m:t>
        </m:r>
        <m:r>
          <m:t>o</m:t>
        </m:r>
        <m:r>
          <m:t>c</m:t>
        </m:r>
        <m:r>
          <m:t>k</m:t>
        </m:r>
        <m:r>
          <m:t>a</m:t>
        </m:r>
        <m:r>
          <m:t>r</m:t>
        </m:r>
        <m:r>
          <m:t>o</m:t>
        </m:r>
        <m:r>
          <m:t>u</m:t>
        </m:r>
        <m:r>
          <m:t>n</m:t>
        </m:r>
        <m:r>
          <m:t>d</m:t>
        </m:r>
        <m:r>
          <m:rPr>
            <m:sty m:val="p"/>
          </m:rPr>
          <m:t>*</m:t>
        </m:r>
        <m:r>
          <m:rPr>
            <m:sty m:val="p"/>
          </m:rPr>
          <m:t>*</m:t>
        </m:r>
      </m:oMath>
      <w:r>
        <w:rPr>
          <w:b/>
          <w:bCs/>
        </w:rPr>
        <w:t xml:space="preserve">625</w:t>
      </w:r>
      <w:r>
        <w:t xml:space="preserve">. The average target sits in the ~$690–705 range.</w:t>
      </w:r>
    </w:p>
    <w:p>
      <w:r>
        <w:pict>
          <v:rect style="width:0;height:1.5pt" o:hralign="center" o:hrstd="t" o:hr="t"/>
        </w:pict>
      </w:r>
    </w:p>
    <w:bookmarkEnd w:id="11"/>
    <w:bookmarkStart w:id="12" w:name="the-stock-backdrop"/>
    <w:p>
      <w:pPr>
        <w:pStyle w:val="Heading2"/>
      </w:pPr>
      <w:r>
        <w:t xml:space="preserve">The stock backdrop</w:t>
      </w:r>
    </w:p>
    <w:p>
      <w:pPr>
        <w:pStyle w:val="Compact"/>
        <w:numPr>
          <w:ilvl w:val="0"/>
          <w:numId w:val="1002"/>
        </w:numPr>
      </w:pPr>
      <w:r>
        <w:t xml:space="preserve">MSCI is up</w:t>
      </w:r>
      <w:r>
        <w:t xml:space="preserve"> </w:t>
      </w:r>
      <w:r>
        <w:rPr>
          <w:b/>
          <w:bCs/>
        </w:rPr>
        <w:t xml:space="preserve">~11% year-to-date</w:t>
      </w:r>
      <w:r>
        <w:t xml:space="preserve"> </w:t>
      </w:r>
      <w:r>
        <w:t xml:space="preserve">(from ~</w:t>
      </w:r>
      <m:oMath>
        <m:r>
          <m:t>565</m:t>
        </m:r>
        <m:r>
          <m:t>t</m:t>
        </m:r>
        <m:r>
          <m:t>o</m:t>
        </m:r>
        <m:r>
          <m:t> </m:t>
        </m:r>
      </m:oMath>
      <w:r>
        <w:t xml:space="preserve">625), and up ~8% over the last month heading into the print.</w:t>
      </w:r>
    </w:p>
    <w:p>
      <w:pPr>
        <w:pStyle w:val="Compact"/>
        <w:numPr>
          <w:ilvl w:val="0"/>
          <w:numId w:val="1002"/>
        </w:numPr>
      </w:pPr>
      <w:r>
        <w:t xml:space="preserve">The divergence versus peer S&amp;P Global is striking:</w:t>
      </w:r>
      <w:r>
        <w:t xml:space="preserve"> </w:t>
      </w:r>
      <w:r>
        <w:rPr>
          <w:b/>
          <w:bCs/>
        </w:rPr>
        <w:t xml:space="preserve">SPGI is down ~12% YTD</w:t>
      </w:r>
      <w:r>
        <w:t xml:space="preserve"> </w:t>
      </w:r>
      <w:r>
        <w:t xml:space="preserve">over the same window, so MSCI has meaningfully outperformed the index/data complex — a sign expectations are elevated.</w:t>
      </w:r>
    </w:p>
    <w:p>
      <w:pPr>
        <w:pStyle w:val="Compact"/>
        <w:numPr>
          <w:ilvl w:val="0"/>
          <w:numId w:val="1002"/>
        </w:numPr>
      </w:pPr>
      <w:r>
        <w:t xml:space="preserve">The shares briefly cratered to ~$511 in the early-February market selloff before recovering to new highs, so this is a high-beta, high-multiple name where the reaction hinges on guidance and forward metrics, not just the printed EPS.</w:t>
      </w:r>
    </w:p>
    <w:p>
      <w:r>
        <w:pict>
          <v:rect style="width:0;height:1.5pt" o:hralign="center" o:hrstd="t" o:hr="t"/>
        </w:pict>
      </w:r>
    </w:p>
    <w:bookmarkEnd w:id="12"/>
    <w:bookmarkStart w:id="18" w:name="the-five-things-that-actually-matter"/>
    <w:p>
      <w:pPr>
        <w:pStyle w:val="Heading2"/>
      </w:pPr>
      <w:r>
        <w:t xml:space="preserve">The five things that actually matter</w:t>
      </w:r>
    </w:p>
    <w:bookmarkStart w:id="13" w:name="X5e43f234eb318ef78811dbff1ebd63482afca54"/>
    <w:p>
      <w:pPr>
        <w:pStyle w:val="Heading3"/>
      </w:pPr>
      <w:r>
        <w:t xml:space="preserve">1. Asset-Based Fees — the swing factor, and it should be strong</w:t>
      </w:r>
    </w:p>
    <w:p>
      <w:pPr>
        <w:pStyle w:val="FirstParagraph"/>
      </w:pPr>
      <w:r>
        <w:t xml:space="preserve">This is the highest-torque line and the most likely source of a beat.</w:t>
      </w:r>
    </w:p>
    <w:p>
      <w:pPr>
        <w:pStyle w:val="Compact"/>
        <w:numPr>
          <w:ilvl w:val="0"/>
          <w:numId w:val="1003"/>
        </w:numPr>
      </w:pPr>
      <w:r>
        <w:t xml:space="preserve">Exiting Q1, the</w:t>
      </w:r>
      <w:r>
        <w:t xml:space="preserve"> </w:t>
      </w:r>
      <w:r>
        <w:rPr>
          <w:b/>
          <w:bCs/>
        </w:rPr>
        <w:t xml:space="preserve">ABF run rate hit a record $872M, up 25%</w:t>
      </w:r>
      <w:r>
        <w:t xml:space="preserve">, and Q1 saw</w:t>
      </w:r>
      <w:r>
        <w:t xml:space="preserve"> </w:t>
      </w:r>
      <w:r>
        <w:rPr>
          <w:b/>
          <w:bCs/>
        </w:rPr>
        <w:t xml:space="preserve">record quarterly ETF inflows of $103B</w:t>
      </w:r>
      <w:r>
        <w:t xml:space="preserve"> </w:t>
      </w:r>
      <w:r>
        <w:t xml:space="preserve">(~35% of all equity index-ETF flows) into products linked to MSCI indexes.</w:t>
      </w:r>
    </w:p>
    <w:p>
      <w:pPr>
        <w:pStyle w:val="Compact"/>
        <w:numPr>
          <w:ilvl w:val="0"/>
          <w:numId w:val="1003"/>
        </w:numPr>
      </w:pPr>
      <w:r>
        <w:t xml:space="preserve">Q2 2026 was, industry-wide, a</w:t>
      </w:r>
      <w:r>
        <w:t xml:space="preserve"> </w:t>
      </w:r>
      <w:r>
        <w:rPr>
          <w:b/>
          <w:bCs/>
        </w:rPr>
        <w:t xml:space="preserve">record quarter for ETF flows</w:t>
      </w:r>
      <w:r>
        <w:t xml:space="preserve"> </w:t>
      </w:r>
      <w:r>
        <w:t xml:space="preserve">(~</w:t>
      </w:r>
      <m:oMath>
        <m:r>
          <m:t>560</m:t>
        </m:r>
        <m:r>
          <m:t>B</m:t>
        </m:r>
        <m:r>
          <m:t>i</m:t>
        </m:r>
        <m:r>
          <m:t>n</m:t>
        </m:r>
        <m:r>
          <m:t>t</m:t>
        </m:r>
        <m:r>
          <m:t>o</m:t>
        </m:r>
        <m:r>
          <m:t>U</m:t>
        </m:r>
        <m:r>
          <m:rPr>
            <m:sty m:val="p"/>
          </m:rPr>
          <m:t>.</m:t>
        </m:r>
        <m:r>
          <m:t>S</m:t>
        </m:r>
        <m:r>
          <m:rPr>
            <m:sty m:val="p"/>
          </m:rPr>
          <m:t>.</m:t>
        </m:r>
        <m:r>
          <m:rPr>
            <m:sty m:val="p"/>
          </m:rPr>
          <m:t>−</m:t>
        </m:r>
        <m:r>
          <m:t>l</m:t>
        </m:r>
        <m:r>
          <m:t>i</m:t>
        </m:r>
        <m:r>
          <m:t>s</m:t>
        </m:r>
        <m:r>
          <m:t>t</m:t>
        </m:r>
        <m:r>
          <m:t>e</m:t>
        </m:r>
        <m:r>
          <m:t>d</m:t>
        </m:r>
        <m:r>
          <m:t>E</m:t>
        </m:r>
        <m:r>
          <m:t>T</m:t>
        </m:r>
        <m:r>
          <m:t>F</m:t>
        </m:r>
        <m:r>
          <m:t>s</m:t>
        </m:r>
        <m:r>
          <m:t>a</m:t>
        </m:r>
        <m:r>
          <m:t>l</m:t>
        </m:r>
        <m:r>
          <m:t>o</m:t>
        </m:r>
        <m:r>
          <m:t>n</m:t>
        </m:r>
        <m:r>
          <m:t>e</m:t>
        </m:r>
        <m:r>
          <m:rPr>
            <m:sty m:val="p"/>
          </m:rPr>
          <m:t>)</m:t>
        </m:r>
        <m:r>
          <m:rPr>
            <m:sty m:val="p"/>
          </m:rPr>
          <m:t>,</m:t>
        </m:r>
        <m:r>
          <m:t>w</m:t>
        </m:r>
        <m:r>
          <m:t>i</m:t>
        </m:r>
        <m:r>
          <m:t>t</m:t>
        </m:r>
        <m:r>
          <m:t>h</m:t>
        </m:r>
        <m:r>
          <m:t>i</m:t>
        </m:r>
        <m:r>
          <m:t>S</m:t>
        </m:r>
        <m:r>
          <m:t>h</m:t>
        </m:r>
        <m:r>
          <m:t>a</m:t>
        </m:r>
        <m:r>
          <m:t>r</m:t>
        </m:r>
        <m:r>
          <m:t>e</m:t>
        </m:r>
        <m:sSup>
          <m:e>
            <m:r>
              <m:t>s</m:t>
            </m:r>
          </m:e>
          <m:sup>
            <m:r>
              <m:rPr>
                <m:sty m:val="p"/>
              </m:rPr>
              <m:t>′</m:t>
            </m:r>
          </m:sup>
        </m:sSup>
        <m:r>
          <m:t>M</m:t>
        </m:r>
        <m:r>
          <m:t>S</m:t>
        </m:r>
        <m:r>
          <m:t>C</m:t>
        </m:r>
        <m:r>
          <m:t>I</m:t>
        </m:r>
        <m:r>
          <m:rPr>
            <m:sty m:val="p"/>
          </m:rPr>
          <m:t>−</m:t>
        </m:r>
        <m:r>
          <m:t>l</m:t>
        </m:r>
        <m:r>
          <m:t>i</m:t>
        </m:r>
        <m:r>
          <m:t>n</m:t>
        </m:r>
        <m:r>
          <m:t>k</m:t>
        </m:r>
        <m:r>
          <m:t>e</m:t>
        </m:r>
        <m:r>
          <m:t>d</m:t>
        </m:r>
        <m:r>
          <m:t>f</m:t>
        </m:r>
        <m:r>
          <m:t>u</m:t>
        </m:r>
        <m:r>
          <m:t>n</m:t>
        </m:r>
        <m:r>
          <m:t>d</m:t>
        </m:r>
        <m:r>
          <m:t>s</m:t>
        </m:r>
        <m:r>
          <m:rPr>
            <m:sty m:val="p"/>
          </m:rPr>
          <m:t>(</m:t>
        </m:r>
        <m:r>
          <m:t>e</m:t>
        </m:r>
        <m:r>
          <m:rPr>
            <m:sty m:val="p"/>
          </m:rPr>
          <m:t>.</m:t>
        </m:r>
        <m:r>
          <m:t>g</m:t>
        </m:r>
        <m:r>
          <m:rPr>
            <m:sty m:val="p"/>
          </m:rPr>
          <m:t>.</m:t>
        </m:r>
        <m:r>
          <m:rPr>
            <m:sty m:val="p"/>
          </m:rPr>
          <m:t>,</m:t>
        </m:r>
        <m:r>
          <m:t>I</m:t>
        </m:r>
        <m:r>
          <m:t>E</m:t>
        </m:r>
        <m:r>
          <m:t>M</m:t>
        </m:r>
        <m:r>
          <m:t>G</m:t>
        </m:r>
        <m:r>
          <m:rPr>
            <m:sty m:val="p"/>
          </m:rPr>
          <m:t>)</m:t>
        </m:r>
        <m:r>
          <m:t>a</m:t>
        </m:r>
        <m:r>
          <m:t>m</m:t>
        </m:r>
        <m:r>
          <m:t>o</m:t>
        </m:r>
        <m:r>
          <m:t>n</m:t>
        </m:r>
        <m:r>
          <m:t>g</m:t>
        </m:r>
        <m:r>
          <m:t>t</m:t>
        </m:r>
        <m:r>
          <m:t>h</m:t>
        </m:r>
        <m:r>
          <m:t>e</m:t>
        </m:r>
        <m:r>
          <m:t>l</m:t>
        </m:r>
        <m:r>
          <m:t>e</m:t>
        </m:r>
        <m:r>
          <m:t>a</m:t>
        </m:r>
        <m:r>
          <m:t>d</m:t>
        </m:r>
        <m:r>
          <m:t>e</m:t>
        </m:r>
        <m:r>
          <m:t>r</m:t>
        </m:r>
        <m:r>
          <m:t>s</m:t>
        </m:r>
        <m:r>
          <m:rPr>
            <m:sty m:val="p"/>
          </m:rPr>
          <m:t>.</m:t>
        </m:r>
        <m:r>
          <m:t>T</m:t>
        </m:r>
        <m:r>
          <m:t>h</m:t>
        </m:r>
        <m:r>
          <m:t>e</m:t>
        </m:r>
        <m:r>
          <m:rPr>
            <m:sty m:val="p"/>
          </m:rPr>
          <m:t>*</m:t>
        </m:r>
        <m:r>
          <m:rPr>
            <m:sty m:val="p"/>
          </m:rPr>
          <m:t>*</m:t>
        </m:r>
        <m:r>
          <m:t>r</m:t>
        </m:r>
        <m:r>
          <m:t>o</m:t>
        </m:r>
        <m:r>
          <m:t>t</m:t>
        </m:r>
        <m:r>
          <m:t>a</m:t>
        </m:r>
        <m:r>
          <m:t>t</m:t>
        </m:r>
        <m:r>
          <m:t>i</m:t>
        </m:r>
        <m:r>
          <m:t>o</m:t>
        </m:r>
        <m:r>
          <m:t>n</m:t>
        </m:r>
        <m:r>
          <m:t>i</m:t>
        </m:r>
        <m:r>
          <m:t>n</m:t>
        </m:r>
        <m:r>
          <m:t>t</m:t>
        </m:r>
        <m:r>
          <m:t>o</m:t>
        </m:r>
        <m:r>
          <m:t>n</m:t>
        </m:r>
        <m:r>
          <m:t>o</m:t>
        </m:r>
        <m:r>
          <m:t>n</m:t>
        </m:r>
        <m:r>
          <m:rPr>
            <m:sty m:val="p"/>
          </m:rPr>
          <m:t>−</m:t>
        </m:r>
        <m:r>
          <m:t>U</m:t>
        </m:r>
        <m:r>
          <m:rPr>
            <m:sty m:val="p"/>
          </m:rPr>
          <m:t>.</m:t>
        </m:r>
        <m:r>
          <m:t>S</m:t>
        </m:r>
        <m:r>
          <m:rPr>
            <m:sty m:val="p"/>
          </m:rPr>
          <m:t>.</m:t>
        </m:r>
        <m:r>
          <m:rPr>
            <m:sty m:val="p"/>
          </m:rPr>
          <m:t>/</m:t>
        </m:r>
        <m:r>
          <m:t>d</m:t>
        </m:r>
        <m:r>
          <m:t>e</m:t>
        </m:r>
        <m:r>
          <m:t>v</m:t>
        </m:r>
        <m:r>
          <m:t>e</m:t>
        </m:r>
        <m:r>
          <m:t>l</m:t>
        </m:r>
        <m:r>
          <m:t>o</m:t>
        </m:r>
        <m:r>
          <m:t>p</m:t>
        </m:r>
        <m:r>
          <m:t>e</m:t>
        </m:r>
        <m:r>
          <m:t>d</m:t>
        </m:r>
        <m:r>
          <m:rPr>
            <m:sty m:val="p"/>
          </m:rPr>
          <m:t>−</m:t>
        </m:r>
        <m:r>
          <m:t>e</m:t>
        </m:r>
        <m:r>
          <m:t>x</m:t>
        </m:r>
        <m:r>
          <m:rPr>
            <m:sty m:val="p"/>
          </m:rPr>
          <m:t>−</m:t>
        </m:r>
        <m:r>
          <m:t>U</m:t>
        </m:r>
        <m:r>
          <m:t>S</m:t>
        </m:r>
        <m:r>
          <m:t>a</m:t>
        </m:r>
        <m:r>
          <m:t>n</m:t>
        </m:r>
        <m:r>
          <m:t>d</m:t>
        </m:r>
        <m:r>
          <m:t>E</m:t>
        </m:r>
        <m:r>
          <m:t>M</m:t>
        </m:r>
        <m:r>
          <m:t>e</m:t>
        </m:r>
        <m:r>
          <m:t>q</m:t>
        </m:r>
        <m:r>
          <m:t>u</m:t>
        </m:r>
        <m:r>
          <m:t>i</m:t>
        </m:r>
        <m:r>
          <m:t>t</m:t>
        </m:r>
        <m:r>
          <m:t>i</m:t>
        </m:r>
        <m:r>
          <m:t>e</m:t>
        </m:r>
        <m:r>
          <m:t>s</m:t>
        </m:r>
        <m:r>
          <m:rPr>
            <m:sty m:val="p"/>
          </m:rPr>
          <m:t>*</m:t>
        </m:r>
        <m:r>
          <m:rPr>
            <m:sty m:val="p"/>
          </m:rPr>
          <m:t>*</m:t>
        </m:r>
        <m:r>
          <m:rPr>
            <m:sty m:val="p"/>
          </m:rPr>
          <m:t>—</m:t>
        </m:r>
        <m:r>
          <m:t>w</m:t>
        </m:r>
        <m:r>
          <m:t>h</m:t>
        </m:r>
        <m:r>
          <m:t>e</m:t>
        </m:r>
        <m:r>
          <m:t>r</m:t>
        </m:r>
        <m:r>
          <m:t>e</m:t>
        </m:r>
        <m:r>
          <m:t>M</m:t>
        </m:r>
        <m:r>
          <m:t>S</m:t>
        </m:r>
        <m:r>
          <m:t>C</m:t>
        </m:r>
        <m:r>
          <m:t>I</m:t>
        </m:r>
        <m:r>
          <m:t>h</m:t>
        </m:r>
        <m:r>
          <m:t>a</m:t>
        </m:r>
        <m:r>
          <m:t>s</m:t>
        </m:r>
        <m:r>
          <m:t>a</m:t>
        </m:r>
        <m:r>
          <m:t> </m:t>
        </m:r>
        <m:r>
          <m:t>35</m:t>
        </m:r>
      </m:oMath>
      <w:r>
        <w:t xml:space="preserve">1.1T of $2.4T) — plays directly to MSCI's book.</w:t>
      </w:r>
    </w:p>
    <w:p>
      <w:pPr>
        <w:pStyle w:val="Compact"/>
        <w:numPr>
          <w:ilvl w:val="0"/>
          <w:numId w:val="1003"/>
        </w:numPr>
      </w:pPr>
      <w:r>
        <w:t xml:space="preserve">Q1-end AUM was</w:t>
      </w:r>
      <w:r>
        <w:t xml:space="preserve"> </w:t>
      </w:r>
      <w:r>
        <w:rPr>
          <w:b/>
          <w:bCs/>
        </w:rPr>
        <w:t xml:space="preserve">$2,403B</w:t>
      </w:r>
      <w:r>
        <w:t xml:space="preserve"> </w:t>
      </w:r>
      <w:r>
        <w:t xml:space="preserve">vs. a Q2 2025 period-average of only $1,869B, so the year-over-year average-AUM comparison should be up ~30%+.</w:t>
      </w:r>
      <w:r>
        <w:t xml:space="preserve"> </w:t>
      </w:r>
      <w:r>
        <w:rPr>
          <w:b/>
          <w:bCs/>
        </w:rPr>
        <w:t xml:space="preserve">Watch period-end and period-average AUM, and the basis-point fee.</w:t>
      </w:r>
    </w:p>
    <w:p>
      <w:pPr>
        <w:pStyle w:val="Compact"/>
        <w:numPr>
          <w:ilvl w:val="0"/>
          <w:numId w:val="1003"/>
        </w:numPr>
      </w:pPr>
      <w:r>
        <w:rPr>
          <w:b/>
          <w:bCs/>
        </w:rPr>
        <w:t xml:space="preserve">Key nuance:</w:t>
      </w:r>
      <w:r>
        <w:t xml:space="preserve"> </w:t>
      </w:r>
      <w:r>
        <w:t xml:space="preserve">the realized fee rate is compressing (2.47 → 2.43 →</w:t>
      </w:r>
      <w:r>
        <w:t xml:space="preserve"> </w:t>
      </w:r>
      <w:r>
        <w:rPr>
          <w:b/>
          <w:bCs/>
        </w:rPr>
        <w:t xml:space="preserve">2.35 bps</w:t>
      </w:r>
      <w:r>
        <w:t xml:space="preserve">) as flows skew toward lower-fee international/European and core products. ABF revenue is growing fast but</w:t>
      </w:r>
      <w:r>
        <w:t xml:space="preserve"> </w:t>
      </w:r>
      <w:r>
        <w:rPr>
          <w:b/>
          <w:bCs/>
        </w:rPr>
        <w:t xml:space="preserve">slower than AUM</w:t>
      </w:r>
      <w:r>
        <w:t xml:space="preserve"> </w:t>
      </w:r>
      <w:r>
        <w:t xml:space="preserve">— don't over-extrapolate from the flow headlines.</w:t>
      </w:r>
    </w:p>
    <w:bookmarkEnd w:id="13"/>
    <w:bookmarkStart w:id="14" w:name="X18a4316a6eaf676537a98b6b612460fff58dcdd"/>
    <w:p>
      <w:pPr>
        <w:pStyle w:val="Heading3"/>
      </w:pPr>
      <w:r>
        <w:t xml:space="preserve">2. Subscription momentum — can the Q1 re-acceleration hold?</w:t>
      </w:r>
    </w:p>
    <w:p>
      <w:pPr>
        <w:pStyle w:val="Compact"/>
        <w:numPr>
          <w:ilvl w:val="0"/>
          <w:numId w:val="1004"/>
        </w:numPr>
      </w:pPr>
      <w:r>
        <w:t xml:space="preserve">Q1 was MSCI's</w:t>
      </w:r>
      <w:r>
        <w:t xml:space="preserve"> </w:t>
      </w:r>
      <w:r>
        <w:rPr>
          <w:b/>
          <w:bCs/>
        </w:rPr>
        <w:t xml:space="preserve">best first quarter for net-new recurring subscription sales since 2022</w:t>
      </w:r>
      <w:r>
        <w:t xml:space="preserve">, at $39.6M, up 52%, and management explicitly called Q3 2025 "the bottom" with sequential improvement since.</w:t>
      </w:r>
    </w:p>
    <w:p>
      <w:pPr>
        <w:pStyle w:val="Compact"/>
        <w:numPr>
          <w:ilvl w:val="0"/>
          <w:numId w:val="1004"/>
        </w:numPr>
      </w:pPr>
      <w:r>
        <w:t xml:space="preserve">Crucially,</w:t>
      </w:r>
      <w:r>
        <w:t xml:space="preserve"> </w:t>
      </w:r>
      <w:r>
        <w:rPr>
          <w:b/>
          <w:bCs/>
        </w:rPr>
        <w:t xml:space="preserve">Index subscription run-rate growth re-accelerated back to double digits (organic +10.4%)</w:t>
      </w:r>
      <w:r>
        <w:t xml:space="preserve"> </w:t>
      </w:r>
      <w:r>
        <w:t xml:space="preserve">— a metric investors had been watching closely after it slipped into single digits.</w:t>
      </w:r>
    </w:p>
    <w:p>
      <w:pPr>
        <w:pStyle w:val="Compact"/>
        <w:numPr>
          <w:ilvl w:val="0"/>
          <w:numId w:val="1004"/>
        </w:numPr>
      </w:pPr>
      <w:r>
        <w:t xml:space="preserve">Q2 is historically a</w:t>
      </w:r>
      <w:r>
        <w:t xml:space="preserve"> </w:t>
      </w:r>
      <w:r>
        <w:rPr>
          <w:b/>
          <w:bCs/>
        </w:rPr>
        <w:t xml:space="preserve">larger, more important sales quarter</w:t>
      </w:r>
      <w:r>
        <w:t xml:space="preserve">, and management flagged an "attractive pipeline." The year-ago comp is $43.8M of net-new (which was actually</w:t>
      </w:r>
      <w:r>
        <w:t xml:space="preserve"> </w:t>
      </w:r>
      <w:r>
        <w:rPr>
          <w:i/>
          <w:iCs/>
        </w:rPr>
        <w:t xml:space="preserve">down</w:t>
      </w:r>
      <w:r>
        <w:t xml:space="preserve"> </w:t>
      </w:r>
      <w:r>
        <w:t xml:space="preserve">20.9% Y/Y in Q2 2025), so the comparison is achievable.</w:t>
      </w:r>
      <w:r>
        <w:t xml:space="preserve"> </w:t>
      </w:r>
      <w:r>
        <w:rPr>
          <w:b/>
          <w:bCs/>
        </w:rPr>
        <w:t xml:space="preserve">A second consecutive quarter of accelerating net-new would validate the "new products + AI + better execution" thesis; any stall would sting given the multiple.</w:t>
      </w:r>
    </w:p>
    <w:p>
      <w:pPr>
        <w:pStyle w:val="Compact"/>
        <w:numPr>
          <w:ilvl w:val="0"/>
          <w:numId w:val="1004"/>
        </w:numPr>
      </w:pPr>
      <w:r>
        <w:t xml:space="preserve">Watch the</w:t>
      </w:r>
      <w:r>
        <w:t xml:space="preserve"> </w:t>
      </w:r>
      <w:r>
        <w:rPr>
          <w:b/>
          <w:bCs/>
        </w:rPr>
        <w:t xml:space="preserve">trading ecosystem</w:t>
      </w:r>
      <w:r>
        <w:t xml:space="preserve"> </w:t>
      </w:r>
      <w:r>
        <w:t xml:space="preserve">(hedge funds/banks/broker-dealers) — MSCI's fastest-growing segment (Index +27%, Analytics +14% with hedge funds in Q1) — and</w:t>
      </w:r>
      <w:r>
        <w:t xml:space="preserve"> </w:t>
      </w:r>
      <w:r>
        <w:rPr>
          <w:b/>
          <w:bCs/>
        </w:rPr>
        <w:t xml:space="preserve">retention</w:t>
      </w:r>
      <w:r>
        <w:t xml:space="preserve"> </w:t>
      </w:r>
      <w:r>
        <w:t xml:space="preserve">(Q2 is seasonally the lowest; 94.4% a year ago vs. 95.4% in Q1).</w:t>
      </w:r>
    </w:p>
    <w:bookmarkEnd w:id="14"/>
    <w:bookmarkStart w:id="15" w:name="X9fa613b05f1e0c4bb9db94a9f63ef6117b7c20e"/>
    <w:p>
      <w:pPr>
        <w:pStyle w:val="Heading3"/>
      </w:pPr>
      <w:r>
        <w:t xml:space="preserve">3. Analytics — management pre-warned of a Q2 deceleration</w:t>
      </w:r>
    </w:p>
    <w:p>
      <w:pPr>
        <w:pStyle w:val="Compact"/>
        <w:numPr>
          <w:ilvl w:val="0"/>
          <w:numId w:val="1005"/>
        </w:numPr>
      </w:pPr>
      <w:r>
        <w:t xml:space="preserve">Don't be caught off guard: Analytics revenue grew</w:t>
      </w:r>
      <w:r>
        <w:t xml:space="preserve"> </w:t>
      </w:r>
      <w:r>
        <w:rPr>
          <w:b/>
          <w:bCs/>
        </w:rPr>
        <w:t xml:space="preserve">10.3% in Q1</w:t>
      </w:r>
      <w:r>
        <w:t xml:space="preserve">, but that was inflated by a large one-time</w:t>
      </w:r>
      <w:r>
        <w:t xml:space="preserve"> </w:t>
      </w:r>
      <w:r>
        <w:rPr>
          <w:b/>
          <w:bCs/>
        </w:rPr>
        <w:t xml:space="preserve">implementation booked in non-recurring revenue</w:t>
      </w:r>
      <w:r>
        <w:t xml:space="preserve">. Management explicitly guided</w:t>
      </w:r>
      <w:r>
        <w:t xml:space="preserve"> </w:t>
      </w:r>
      <w:r>
        <w:rPr>
          <w:b/>
          <w:bCs/>
        </w:rPr>
        <w:t xml:space="preserve">Q2 Analytics revenue growth to ~5%</w:t>
      </w:r>
      <w:r>
        <w:t xml:space="preserve"> </w:t>
      </w:r>
      <w:r>
        <w:t xml:space="preserve">(mid-single digits), with growth thereafter tracking closer to run-rate (~7-8%).</w:t>
      </w:r>
    </w:p>
    <w:p>
      <w:pPr>
        <w:pStyle w:val="Compact"/>
        <w:numPr>
          <w:ilvl w:val="0"/>
          <w:numId w:val="1005"/>
        </w:numPr>
      </w:pPr>
      <w:r>
        <w:t xml:space="preserve">Focus on the</w:t>
      </w:r>
      <w:r>
        <w:t xml:space="preserve"> </w:t>
      </w:r>
      <w:r>
        <w:rPr>
          <w:b/>
          <w:bCs/>
        </w:rPr>
        <w:t xml:space="preserve">run rate (7.9% in Q1)</w:t>
      </w:r>
      <w:r>
        <w:t xml:space="preserve"> </w:t>
      </w:r>
      <w:r>
        <w:t xml:space="preserve">rather than reported revenue as the real signal; the equity-analytics/factor franchise and multi-asset-class wins are the underlying drivers.</w:t>
      </w:r>
    </w:p>
    <w:bookmarkEnd w:id="15"/>
    <w:bookmarkStart w:id="16" w:name="X9399004246c2163bcf9049dff55410d1edd2f93"/>
    <w:p>
      <w:pPr>
        <w:pStyle w:val="Heading3"/>
      </w:pPr>
      <w:r>
        <w:t xml:space="preserve">4. Sustainability &amp; Climate — the acknowledged soft spot</w:t>
      </w:r>
    </w:p>
    <w:p>
      <w:pPr>
        <w:pStyle w:val="Compact"/>
        <w:numPr>
          <w:ilvl w:val="0"/>
          <w:numId w:val="1006"/>
        </w:numPr>
      </w:pPr>
      <w:r>
        <w:t xml:space="preserve">This remains the weakest link: Q1 organic run-rate growth was just</w:t>
      </w:r>
      <w:r>
        <w:t xml:space="preserve"> </w:t>
      </w:r>
      <w:r>
        <w:rPr>
          <w:b/>
          <w:bCs/>
        </w:rPr>
        <w:t xml:space="preserve">+4.2%</w:t>
      </w:r>
      <w:r>
        <w:t xml:space="preserve">, with</w:t>
      </w:r>
      <w:r>
        <w:t xml:space="preserve"> </w:t>
      </w:r>
      <w:r>
        <w:rPr>
          <w:b/>
          <w:bCs/>
        </w:rPr>
        <w:t xml:space="preserve">rising cancellations and a 93% retention rate</w:t>
      </w:r>
      <w:r>
        <w:t xml:space="preserve">, and management said the "muted growth… will continue in the near term."</w:t>
      </w:r>
    </w:p>
    <w:p>
      <w:pPr>
        <w:pStyle w:val="Compact"/>
        <w:numPr>
          <w:ilvl w:val="0"/>
          <w:numId w:val="1006"/>
        </w:numPr>
      </w:pPr>
      <w:r>
        <w:t xml:space="preserve">The nuance worth listening for: MSCI is</w:t>
      </w:r>
      <w:r>
        <w:t xml:space="preserve"> </w:t>
      </w:r>
      <w:r>
        <w:rPr>
          <w:b/>
          <w:bCs/>
        </w:rPr>
        <w:t xml:space="preserve">separating Sustainability from Climate</w:t>
      </w:r>
      <w:r>
        <w:t xml:space="preserve">, taking competitive share on ratings amid client cost-rationalization, and is "cautiously optimistic" on a</w:t>
      </w:r>
      <w:r>
        <w:t xml:space="preserve"> </w:t>
      </w:r>
      <w:r>
        <w:rPr>
          <w:b/>
          <w:bCs/>
        </w:rPr>
        <w:t xml:space="preserve">Climate/physical-risk</w:t>
      </w:r>
      <w:r>
        <w:t xml:space="preserve"> </w:t>
      </w:r>
      <w:r>
        <w:t xml:space="preserve">re-acceleration (e.g., the European Central Bank system win). Any inflection here would be an upside surprise; continued softness is already expected.</w:t>
      </w:r>
    </w:p>
    <w:bookmarkEnd w:id="16"/>
    <w:bookmarkStart w:id="17" w:name="X6883082fe9a0922c74113c1a5c80b95587da88a"/>
    <w:p>
      <w:pPr>
        <w:pStyle w:val="Heading3"/>
      </w:pPr>
      <w:r>
        <w:t xml:space="preserve">5. Private Capital Solutions / Private Assets — the multi-year growth story</w:t>
      </w:r>
    </w:p>
    <w:p>
      <w:pPr>
        <w:pStyle w:val="Compact"/>
        <w:numPr>
          <w:ilvl w:val="0"/>
          <w:numId w:val="1007"/>
        </w:numPr>
      </w:pPr>
      <w:r>
        <w:t xml:space="preserve">PCS subscription run rate accelerated to</w:t>
      </w:r>
      <w:r>
        <w:t xml:space="preserve"> </w:t>
      </w:r>
      <w:r>
        <w:rPr>
          <w:b/>
          <w:bCs/>
        </w:rPr>
        <w:t xml:space="preserve">~16%</w:t>
      </w:r>
      <w:r>
        <w:t xml:space="preserve"> </w:t>
      </w:r>
      <w:r>
        <w:t xml:space="preserve">in Q1, and MSCI held a dedicated</w:t>
      </w:r>
      <w:r>
        <w:t xml:space="preserve"> </w:t>
      </w:r>
      <w:r>
        <w:rPr>
          <w:b/>
          <w:bCs/>
        </w:rPr>
        <w:t xml:space="preserve">Private Assets investor webinar on June 25</w:t>
      </w:r>
      <w:r>
        <w:t xml:space="preserve"> </w:t>
      </w:r>
      <w:r>
        <w:t xml:space="preserve">(led by new head Luke Flemmer) laying out the "total portfolio" strategy bridging public and private markets.</w:t>
      </w:r>
    </w:p>
    <w:p>
      <w:pPr>
        <w:pStyle w:val="Compact"/>
        <w:numPr>
          <w:ilvl w:val="0"/>
          <w:numId w:val="1007"/>
        </w:numPr>
      </w:pPr>
      <w:r>
        <w:t xml:space="preserve">The segment is only ~$300M of run rate, but it's a key part of the long-term compounding narrative. Recent</w:t>
      </w:r>
      <w:r>
        <w:t xml:space="preserve"> </w:t>
      </w:r>
      <w:r>
        <w:rPr>
          <w:b/>
          <w:bCs/>
        </w:rPr>
        <w:t xml:space="preserve">bolt-on M&amp;A (Vantager, Compass, PM Insights)</w:t>
      </w:r>
      <w:r>
        <w:t xml:space="preserve"> </w:t>
      </w:r>
      <w:r>
        <w:t xml:space="preserve">extends AI-native due-diligence, index calculation (commodities/digital assets/derivatives) and late-stage private pricing.</w:t>
      </w:r>
    </w:p>
    <w:p>
      <w:pPr>
        <w:pStyle w:val="Compact"/>
        <w:numPr>
          <w:ilvl w:val="0"/>
          <w:numId w:val="1007"/>
        </w:numPr>
      </w:pPr>
      <w:r>
        <w:t xml:space="preserve">Management frames the</w:t>
      </w:r>
      <w:r>
        <w:t xml:space="preserve"> </w:t>
      </w:r>
      <w:r>
        <w:rPr>
          <w:b/>
          <w:bCs/>
        </w:rPr>
        <w:t xml:space="preserve">private-credit stress</w:t>
      </w:r>
      <w:r>
        <w:t xml:space="preserve"> </w:t>
      </w:r>
      <w:r>
        <w:t xml:space="preserve">as a</w:t>
      </w:r>
      <w:r>
        <w:t xml:space="preserve"> </w:t>
      </w:r>
      <w:r>
        <w:rPr>
          <w:i/>
          <w:iCs/>
        </w:rPr>
        <w:t xml:space="preserve">tailwind</w:t>
      </w:r>
      <w:r>
        <w:t xml:space="preserve"> </w:t>
      </w:r>
      <w:r>
        <w:t xml:space="preserve">(demand for transparency, terms-and-conditions, implied ratings via the Moody's partnership, and new daily NAV-forecasting/pricing tools). Real Assets remains the drag within the segment. Watch PCS run-rate sustainability and any color on the new pricing/benchmark products.</w:t>
      </w:r>
    </w:p>
    <w:p>
      <w:r>
        <w:pict>
          <v:rect style="width:0;height:1.5pt" o:hralign="center" o:hrstd="t" o:hr="t"/>
        </w:pict>
      </w:r>
    </w:p>
    <w:bookmarkEnd w:id="17"/>
    <w:bookmarkEnd w:id="18"/>
    <w:bookmarkStart w:id="19" w:name="Xe51df95e39424cd5a4233a4eecbbbd982331aad"/>
    <w:p>
      <w:pPr>
        <w:pStyle w:val="Heading2"/>
      </w:pPr>
      <w:r>
        <w:t xml:space="preserve">Guidance watch (arguably more important than the EPS print)</w:t>
      </w:r>
    </w:p>
    <w:p>
      <w:pPr>
        <w:pStyle w:val="FirstParagraph"/>
      </w:pPr>
      <w:r>
        <w:t xml:space="preserve">Full-year 2026 guidance as of Q1:</w:t>
      </w:r>
    </w:p>
    <w:p>
      <w:pPr>
        <w:pStyle w:val="Compact"/>
        <w:numPr>
          <w:ilvl w:val="0"/>
          <w:numId w:val="1008"/>
        </w:numPr>
      </w:pPr>
      <w:r>
        <w:rPr>
          <w:b/>
          <w:bCs/>
        </w:rPr>
        <w:t xml:space="preserve">Operating expense $1,490–1,530M</w:t>
      </w:r>
      <w:r>
        <w:t xml:space="preserve">; Adj. EBITDA expense $1,305–1,335M — management said it is</w:t>
      </w:r>
      <w:r>
        <w:t xml:space="preserve"> </w:t>
      </w:r>
      <w:r>
        <w:rPr>
          <w:b/>
          <w:bCs/>
        </w:rPr>
        <w:t xml:space="preserve">trending to the top half</w:t>
      </w:r>
      <w:r>
        <w:t xml:space="preserve"> </w:t>
      </w:r>
      <w:r>
        <w:t xml:space="preserve">given strong ABF and only "gradual" market appreciation assumed in H2.</w:t>
      </w:r>
    </w:p>
    <w:p>
      <w:pPr>
        <w:pStyle w:val="Compact"/>
        <w:numPr>
          <w:ilvl w:val="0"/>
          <w:numId w:val="1008"/>
        </w:numPr>
      </w:pPr>
      <w:r>
        <w:t xml:space="preserve">D&amp;A raised to</w:t>
      </w:r>
      <w:r>
        <w:t xml:space="preserve"> </w:t>
      </w:r>
      <w:r>
        <w:rPr>
          <w:b/>
          <w:bCs/>
        </w:rPr>
        <w:t xml:space="preserve">$190–200M</w:t>
      </w:r>
      <w:r>
        <w:t xml:space="preserve"> </w:t>
      </w:r>
      <w:r>
        <w:t xml:space="preserve">(acquisition intangibles); Effective tax rate</w:t>
      </w:r>
      <w:r>
        <w:t xml:space="preserve"> </w:t>
      </w:r>
      <w:r>
        <w:rPr>
          <w:b/>
          <w:bCs/>
        </w:rPr>
        <w:t xml:space="preserve">18–20%</w:t>
      </w:r>
      <w:r>
        <w:t xml:space="preserve"> </w:t>
      </w:r>
      <w:r>
        <w:t xml:space="preserve">(Q2 specifically 18–20%); Capex $160–170M;</w:t>
      </w:r>
      <w:r>
        <w:t xml:space="preserve"> </w:t>
      </w:r>
      <w:r>
        <w:rPr>
          <w:b/>
          <w:bCs/>
        </w:rPr>
        <w:t xml:space="preserve">Free cash flow $1,470–1,530M</w:t>
      </w:r>
      <w:r>
        <w:t xml:space="preserve">.</w:t>
      </w:r>
    </w:p>
    <w:p>
      <w:pPr>
        <w:pStyle w:val="Compact"/>
        <w:numPr>
          <w:ilvl w:val="0"/>
          <w:numId w:val="1008"/>
        </w:numPr>
      </w:pPr>
      <w:r>
        <w:rPr>
          <w:b/>
          <w:bCs/>
        </w:rPr>
        <w:t xml:space="preserve">Key questions:</w:t>
      </w:r>
      <w:r>
        <w:t xml:space="preserve"> </w:t>
      </w:r>
      <w:r>
        <w:t xml:space="preserve">Does the ABF strength prompt a revenue/margin framing upgrade? Do they lift the expense range (a "high-class problem" of reinvestment)? Note Q2 is</w:t>
      </w:r>
      <w:r>
        <w:t xml:space="preserve"> </w:t>
      </w:r>
      <w:r>
        <w:rPr>
          <w:b/>
          <w:bCs/>
        </w:rPr>
        <w:t xml:space="preserve">seasonally the highest cash-tax quarter</w:t>
      </w:r>
      <w:r>
        <w:t xml:space="preserve">, so FCF will look soft sequentially — not a red flag.</w:t>
      </w:r>
    </w:p>
    <w:p>
      <w:r>
        <w:pict>
          <v:rect style="width:0;height:1.5pt" o:hralign="center" o:hrstd="t" o:hr="t"/>
        </w:pict>
      </w:r>
    </w:p>
    <w:bookmarkEnd w:id="19"/>
    <w:bookmarkStart w:id="20" w:name="balance-sheet--capital-return"/>
    <w:p>
      <w:pPr>
        <w:pStyle w:val="Heading2"/>
      </w:pPr>
      <w:r>
        <w:t xml:space="preserve">Balance sheet &amp; capital return</w:t>
      </w:r>
    </w:p>
    <w:p>
      <w:pPr>
        <w:pStyle w:val="Compact"/>
        <w:numPr>
          <w:ilvl w:val="0"/>
          <w:numId w:val="1009"/>
        </w:numPr>
      </w:pPr>
      <w:r>
        <w:t xml:space="preserve">Cash ~</w:t>
      </w:r>
      <m:oMath>
        <m:r>
          <m:t>385</m:t>
        </m:r>
        <m:r>
          <m:t>M</m:t>
        </m:r>
        <m:r>
          <m:rPr>
            <m:sty m:val="p"/>
          </m:rPr>
          <m:t>;</m:t>
        </m:r>
        <m:r>
          <m:rPr>
            <m:sty m:val="p"/>
          </m:rPr>
          <m:t>*</m:t>
        </m:r>
        <m:r>
          <m:rPr>
            <m:sty m:val="p"/>
          </m:rPr>
          <m:t>*</m:t>
        </m:r>
        <m:r>
          <m:t>t</m:t>
        </m:r>
        <m:r>
          <m:t>o</m:t>
        </m:r>
        <m:r>
          <m:t>t</m:t>
        </m:r>
        <m:r>
          <m:t>a</m:t>
        </m:r>
        <m:r>
          <m:t>l</m:t>
        </m:r>
        <m:r>
          <m:t>d</m:t>
        </m:r>
        <m:r>
          <m:t>e</m:t>
        </m:r>
        <m:r>
          <m:t>b</m:t>
        </m:r>
        <m:r>
          <m:t>t</m:t>
        </m:r>
        <m:r>
          <m:t>h</m:t>
        </m:r>
        <m:r>
          <m:t>a</m:t>
        </m:r>
        <m:r>
          <m:t>s</m:t>
        </m:r>
        <m:r>
          <m:t>c</m:t>
        </m:r>
        <m:r>
          <m:t>l</m:t>
        </m:r>
        <m:r>
          <m:t>i</m:t>
        </m:r>
        <m:r>
          <m:t>m</m:t>
        </m:r>
        <m:r>
          <m:t>b</m:t>
        </m:r>
        <m:r>
          <m:t>e</m:t>
        </m:r>
        <m:r>
          <m:t>d</m:t>
        </m:r>
        <m:r>
          <m:t>t</m:t>
        </m:r>
        <m:r>
          <m:t>o</m:t>
        </m:r>
        <m:r>
          <m:t> </m:t>
        </m:r>
      </m:oMath>
      <w:r>
        <w:t xml:space="preserve">6.5B** (from ~$4.5B a year ago), pushing leverage to</w:t>
      </w:r>
      <w:r>
        <w:t xml:space="preserve"> </w:t>
      </w:r>
      <w:r>
        <w:rPr>
          <w:b/>
          <w:bCs/>
        </w:rPr>
        <w:t xml:space="preserve">3.2x adj. EBITDA</w:t>
      </w:r>
      <w:r>
        <w:t xml:space="preserve"> </w:t>
      </w:r>
      <w:r>
        <w:t xml:space="preserve">— near the low end of MSCI's 3.0–3.5x target but a notable step-up funding buybacks and M&amp;A. Rising</w:t>
      </w:r>
      <w:r>
        <w:t xml:space="preserve"> </w:t>
      </w:r>
      <w:r>
        <w:rPr>
          <w:b/>
          <w:bCs/>
        </w:rPr>
        <w:t xml:space="preserve">interest expense</w:t>
      </w:r>
      <w:r>
        <w:t xml:space="preserve"> </w:t>
      </w:r>
      <w:r>
        <w:t xml:space="preserve">(guided</w:t>
      </w:r>
      <w:r>
        <w:t xml:space="preserve"> </w:t>
      </w:r>
      <m:oMath>
        <m:r>
          <m:t>274</m:t>
        </m:r>
        <m:r>
          <m:rPr>
            <m:sty m:val="p"/>
          </m:rPr>
          <m:t>–</m:t>
        </m:r>
        <m:r>
          <m:t>280</m:t>
        </m:r>
        <m:r>
          <m:t>M</m:t>
        </m:r>
        <m:r>
          <m:t>f</m:t>
        </m:r>
        <m:r>
          <m:t>o</m:t>
        </m:r>
        <m:r>
          <m:t>r</m:t>
        </m:r>
        <m:r>
          <m:t>F</m:t>
        </m:r>
        <m:r>
          <m:t>Y</m:t>
        </m:r>
        <m:r>
          <m:t>26</m:t>
        </m:r>
        <m:r>
          <m:t>v</m:t>
        </m:r>
        <m:r>
          <m:t>s</m:t>
        </m:r>
        <m:r>
          <m:rPr>
            <m:sty m:val="p"/>
          </m:rPr>
          <m:t>.</m:t>
        </m:r>
        <m:r>
          <m:t> </m:t>
        </m:r>
      </m:oMath>
      <w:r>
        <w:t xml:space="preserve">183M in 2025) is a real EPS headwind to keep in mind.</w:t>
      </w:r>
    </w:p>
    <w:p>
      <w:pPr>
        <w:pStyle w:val="Compact"/>
        <w:numPr>
          <w:ilvl w:val="0"/>
          <w:numId w:val="1009"/>
        </w:numPr>
      </w:pPr>
      <w:r>
        <w:t xml:space="preserve">Buybacks:</w:t>
      </w:r>
      <w:r>
        <w:t xml:space="preserve"> </w:t>
      </w:r>
      <m:oMath>
        <m:r>
          <m:t>464</m:t>
        </m:r>
        <m:r>
          <m:t>M</m:t>
        </m:r>
        <m:r>
          <m:t>r</m:t>
        </m:r>
        <m:r>
          <m:t>e</m:t>
        </m:r>
        <m:r>
          <m:t>p</m:t>
        </m:r>
        <m:r>
          <m:t>u</m:t>
        </m:r>
        <m:r>
          <m:t>r</m:t>
        </m:r>
        <m:r>
          <m:t>c</m:t>
        </m:r>
        <m:r>
          <m:t>h</m:t>
        </m:r>
        <m:r>
          <m:t>a</m:t>
        </m:r>
        <m:r>
          <m:t>s</m:t>
        </m:r>
        <m:r>
          <m:t>e</m:t>
        </m:r>
        <m:r>
          <m:t>d</m:t>
        </m:r>
        <m:r>
          <m:t>Y</m:t>
        </m:r>
        <m:r>
          <m:t>T</m:t>
        </m:r>
        <m:r>
          <m:t>D</m:t>
        </m:r>
        <m:r>
          <m:t>t</m:t>
        </m:r>
        <m:r>
          <m:t>h</m:t>
        </m:r>
        <m:r>
          <m:t>r</m:t>
        </m:r>
        <m:r>
          <m:t>o</m:t>
        </m:r>
        <m:r>
          <m:t>u</m:t>
        </m:r>
        <m:r>
          <m:t>g</m:t>
        </m:r>
        <m:r>
          <m:t>h</m:t>
        </m:r>
        <m:r>
          <m:t>l</m:t>
        </m:r>
        <m:r>
          <m:t>a</m:t>
        </m:r>
        <m:r>
          <m:t>t</m:t>
        </m:r>
        <m:r>
          <m:t>e</m:t>
        </m:r>
        <m:r>
          <m:t>A</m:t>
        </m:r>
        <m:r>
          <m:t>p</m:t>
        </m:r>
        <m:r>
          <m:t>r</m:t>
        </m:r>
        <m:r>
          <m:t>i</m:t>
        </m:r>
        <m:r>
          <m:t>l</m:t>
        </m:r>
        <m:r>
          <m:t>a</m:t>
        </m:r>
        <m:r>
          <m:t>t</m:t>
        </m:r>
        <m:r>
          <m:t> </m:t>
        </m:r>
      </m:oMath>
      <w:r>
        <w:rPr>
          <w:b/>
          <w:bCs/>
        </w:rPr>
        <w:t xml:space="preserve">556/share</w:t>
      </w:r>
      <w:r>
        <w:t xml:space="preserve">, with ~</w:t>
      </w:r>
      <m:oMath>
        <m:r>
          <m:t>1.7</m:t>
        </m:r>
        <m:r>
          <m:t>B</m:t>
        </m:r>
        <m:r>
          <m:t>r</m:t>
        </m:r>
        <m:r>
          <m:t>e</m:t>
        </m:r>
        <m:r>
          <m:t>m</m:t>
        </m:r>
        <m:r>
          <m:t>a</m:t>
        </m:r>
        <m:r>
          <m:t>i</m:t>
        </m:r>
        <m:r>
          <m:t>n</m:t>
        </m:r>
        <m:r>
          <m:t>i</m:t>
        </m:r>
        <m:r>
          <m:t>n</m:t>
        </m:r>
        <m:r>
          <m:t>g</m:t>
        </m:r>
        <m:r>
          <m:t>o</m:t>
        </m:r>
        <m:r>
          <m:t>n</m:t>
        </m:r>
        <m:r>
          <m:t>t</m:t>
        </m:r>
        <m:r>
          <m:t>h</m:t>
        </m:r>
        <m:r>
          <m:t>e</m:t>
        </m:r>
        <m:r>
          <m:t>a</m:t>
        </m:r>
        <m:r>
          <m:t>u</m:t>
        </m:r>
        <m:r>
          <m:t>t</m:t>
        </m:r>
        <m:r>
          <m:t>h</m:t>
        </m:r>
        <m:r>
          <m:t>o</m:t>
        </m:r>
        <m:r>
          <m:t>r</m:t>
        </m:r>
        <m:r>
          <m:t>i</m:t>
        </m:r>
        <m:r>
          <m:t>z</m:t>
        </m:r>
        <m:r>
          <m:t>a</m:t>
        </m:r>
        <m:r>
          <m:t>t</m:t>
        </m:r>
        <m:r>
          <m:t>i</m:t>
        </m:r>
        <m:r>
          <m:t>o</m:t>
        </m:r>
        <m:r>
          <m:t>n</m:t>
        </m:r>
        <m:r>
          <m:rPr>
            <m:sty m:val="p"/>
          </m:rPr>
          <m:t>.</m:t>
        </m:r>
        <m:r>
          <m:t>W</m:t>
        </m:r>
        <m:r>
          <m:t>i</m:t>
        </m:r>
        <m:r>
          <m:t>t</m:t>
        </m:r>
        <m:r>
          <m:t>h</m:t>
        </m:r>
        <m:r>
          <m:t>t</m:t>
        </m:r>
        <m:r>
          <m:t>h</m:t>
        </m:r>
        <m:r>
          <m:t>e</m:t>
        </m:r>
        <m:r>
          <m:t>s</m:t>
        </m:r>
        <m:r>
          <m:t>t</m:t>
        </m:r>
        <m:r>
          <m:t>o</m:t>
        </m:r>
        <m:r>
          <m:t>c</m:t>
        </m:r>
        <m:r>
          <m:t>k</m:t>
        </m:r>
        <m:r>
          <m:t>n</m:t>
        </m:r>
        <m:r>
          <m:t>o</m:t>
        </m:r>
        <m:r>
          <m:t>w</m:t>
        </m:r>
        <m:r>
          <m:t> </m:t>
        </m:r>
      </m:oMath>
      <w:r>
        <w:t xml:space="preserve">625, watch whether repurchase pace moderates at higher prices.</w:t>
      </w:r>
    </w:p>
    <w:p>
      <w:pPr>
        <w:pStyle w:val="Compact"/>
        <w:numPr>
          <w:ilvl w:val="0"/>
          <w:numId w:val="1009"/>
        </w:numPr>
      </w:pPr>
      <w:r>
        <w:t xml:space="preserve">Dividend of</w:t>
      </w:r>
      <w:r>
        <w:t xml:space="preserve"> </w:t>
      </w:r>
      <w:r>
        <w:rPr>
          <w:b/>
          <w:bCs/>
        </w:rPr>
        <w:t xml:space="preserve">$2.05/quarter</w:t>
      </w:r>
      <w:r>
        <w:t xml:space="preserve"> </w:t>
      </w:r>
      <w:r>
        <w:t xml:space="preserve">declared for Q2.</w:t>
      </w:r>
    </w:p>
    <w:p>
      <w:r>
        <w:pict>
          <v:rect style="width:0;height:1.5pt" o:hralign="center" o:hrstd="t" o:hr="t"/>
        </w:pict>
      </w:r>
    </w:p>
    <w:bookmarkEnd w:id="20"/>
    <w:bookmarkStart w:id="21" w:name="the-ai-angle"/>
    <w:p>
      <w:pPr>
        <w:pStyle w:val="Heading2"/>
      </w:pPr>
      <w:r>
        <w:t xml:space="preserve">The AI angle</w:t>
      </w:r>
    </w:p>
    <w:p>
      <w:pPr>
        <w:pStyle w:val="FirstParagraph"/>
      </w:pPr>
      <w:r>
        <w:t xml:space="preserve">Expect heavy AI framing again. Management now says AI is embedded in essentially every new product, is driving</w:t>
      </w:r>
      <w:r>
        <w:t xml:space="preserve"> </w:t>
      </w:r>
      <w:r>
        <w:rPr>
          <w:b/>
          <w:bCs/>
        </w:rPr>
        <w:t xml:space="preserve">real cost efficiencies</w:t>
      </w:r>
      <w:r>
        <w:t xml:space="preserve"> </w:t>
      </w:r>
      <w:r>
        <w:t xml:space="preserve">in data capture (Private Assets, Sustainability), and — the bigger prize — could</w:t>
      </w:r>
      <w:r>
        <w:t xml:space="preserve"> </w:t>
      </w:r>
      <w:r>
        <w:rPr>
          <w:b/>
          <w:bCs/>
        </w:rPr>
        <w:t xml:space="preserve">change how clients consume content</w:t>
      </w:r>
      <w:r>
        <w:t xml:space="preserve"> </w:t>
      </w:r>
      <w:r>
        <w:t xml:space="preserve">(IndexAI Insights, MCP connectors on Claude/ChatGPT/Copilot, agentic delivery). This is largely a narrative/margin story today with little quantified revenue; watch for any early monetization data points on content licensing for AI use cases.</w:t>
      </w:r>
    </w:p>
    <w:p>
      <w:r>
        <w:pict>
          <v:rect style="width:0;height:1.5pt" o:hralign="center" o:hrstd="t" o:hr="t"/>
        </w:pict>
      </w:r>
    </w:p>
    <w:bookmarkEnd w:id="21"/>
    <w:bookmarkStart w:id="22" w:name="bottom-line--what-could-move-the-stock"/>
    <w:p>
      <w:pPr>
        <w:pStyle w:val="Heading2"/>
      </w:pPr>
      <w:r>
        <w:t xml:space="preserve">Bottom line — what could move the stock</w:t>
      </w:r>
    </w:p>
    <w:p>
      <w:pPr>
        <w:pStyle w:val="Compact"/>
        <w:numPr>
          <w:ilvl w:val="0"/>
          <w:numId w:val="1010"/>
        </w:numPr>
      </w:pPr>
      <w:r>
        <w:rPr>
          <w:b/>
          <w:bCs/>
        </w:rPr>
        <w:t xml:space="preserve">Bull case for the reaction:</w:t>
      </w:r>
      <w:r>
        <w:t xml:space="preserve"> </w:t>
      </w:r>
      <w:r>
        <w:t xml:space="preserve">Another ABF-fueled revenue beat, a</w:t>
      </w:r>
      <w:r>
        <w:t xml:space="preserve"> </w:t>
      </w:r>
      <w:r>
        <w:rPr>
          <w:i/>
          <w:iCs/>
        </w:rPr>
        <w:t xml:space="preserve">second</w:t>
      </w:r>
      <w:r>
        <w:t xml:space="preserve"> </w:t>
      </w:r>
      <w:r>
        <w:t xml:space="preserve">quarter of accelerating net-new subscription sales, Index run rate holding double digits, and an expense/framework nudge higher on the back of reinvestment.</w:t>
      </w:r>
    </w:p>
    <w:p>
      <w:pPr>
        <w:pStyle w:val="Compact"/>
        <w:numPr>
          <w:ilvl w:val="0"/>
          <w:numId w:val="1010"/>
        </w:numPr>
      </w:pPr>
      <w:r>
        <w:rPr>
          <w:b/>
          <w:bCs/>
        </w:rPr>
        <w:t xml:space="preserve">Bear/risk case:</w:t>
      </w:r>
      <w:r>
        <w:t xml:space="preserve"> </w:t>
      </w:r>
      <w:r>
        <w:t xml:space="preserve">The Analytics deceleration to ~5% is understood, but any softness in</w:t>
      </w:r>
      <w:r>
        <w:t xml:space="preserve"> </w:t>
      </w:r>
      <w:r>
        <w:rPr>
          <w:b/>
          <w:bCs/>
        </w:rPr>
        <w:t xml:space="preserve">net-new sales, retention (seasonally weak), the compressing ABF fee rate, or the high-multiple + elevated targets</w:t>
      </w:r>
      <w:r>
        <w:t xml:space="preserve"> </w:t>
      </w:r>
      <w:r>
        <w:t xml:space="preserve">leaves little room for disappointment. Watch for FX (a tailwind on a weaker dollar), Gulf/geopolitical commentary, and whether the private-assets and AI narratives translate into hard numbers.</w:t>
      </w:r>
    </w:p>
    <w:p>
      <w:pPr>
        <w:pStyle w:val="FirstParagraph"/>
      </w:pPr>
      <w:r>
        <w:t xml:space="preserve">Given how far the stock has run versus peers and the raised targets, this is a report where</w:t>
      </w:r>
      <w:r>
        <w:t xml:space="preserve"> </w:t>
      </w:r>
      <w:r>
        <w:rPr>
          <w:b/>
          <w:bCs/>
        </w:rPr>
        <w:t xml:space="preserve">the forward metrics and guidance tone — not the headline EPS — will determine the move.</w:t>
      </w:r>
    </w:p>
    <w:p>
      <w:pPr>
        <w:pStyle w:val="BodyText"/>
      </w:pPr>
      <w:r>
        <w:rPr>
          <w:i/>
          <w:iCs/>
        </w:rPr>
        <w:t xml:space="preserve">Note: figures above are drawn from MSCI's Q1 2026 and Q2 2025 disclosures, the June 25 Private Assets webinar, and publicly reported consensus/analyst data; actual Q2 2026 results and guidance will be released July 21.</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2026-07-21T00:49:19Z</dcterms:created>
  <dcterms:modified xsi:type="dcterms:W3CDTF">2026-07-21T00:49:19Z</dcterms:modified>
</cp:coreProperties>
</file>

<file path=docProps/custom.xml><?xml version="1.0" encoding="utf-8"?>
<Properties xmlns="http://schemas.openxmlformats.org/officeDocument/2006/custom-properties" xmlns:vt="http://schemas.openxmlformats.org/officeDocument/2006/docPropsVTypes"/>
</file>