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sci-earnings-predictions--2026-07-21"/>
    <w:p>
      <w:pPr>
        <w:pStyle w:val="Heading1"/>
      </w:pPr>
      <w:r>
        <w:t xml:space="preserve">MSCI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~$4.98 vs. cons $4.89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~$888M vs. cons $877M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Asset-Based Fee (ABF) run-rate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905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895M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expense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~$1,325M (top-half of $1,305-1,335M range) vs. cons $1,320M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~$1,510M vs. cons $1,495M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Effective tax rate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~19% vs. cons ~19%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Analytics revenue growth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~6% vs. cons ~6% (Q3 2026, run-rate high-single-digit better read-through)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-0.9% (FADE)</w:t>
            </w:r>
          </w:p>
        </w:tc>
        <w:tc>
          <w:tcPr/>
          <w:p>
            <w:pPr>
              <w:pStyle w:val="Compact"/>
            </w:pPr>
            <w:r>
              <w:t xml:space="preserve">A likely beat on EPS/revenue/ABF run-rate is already substantially priced in after the stock's run to 52-week highs and a wave of sell-side price-target hikes (Raymond James $760, Barclays $735) ahead of the print. With guidance items (opex, tax rate, FCF) largely reiterated rather than raised and the guided Analytics deceleration already flagged, there's limited fresh upside catalyst for out-quarter estimate revisions. At ~34x trailing earnings, any softness in period-end AUM snapshot (given the late-June equity dip) or lack of explicit raise to full-year guidance should trigger profit-taking/mean-reversion over the following days, consistent with a 'sell-the-news' fade after an initial modest positive pop.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2026-07-21T00:51:51Z</dcterms:created>
  <dcterms:modified xsi:type="dcterms:W3CDTF">2026-07-21T00:51:51Z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