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msci-inc-msci--q2-2026-earnings-preview"/>
    <w:p>
      <w:pPr>
        <w:pStyle w:val="Heading1"/>
      </w:pPr>
      <w:r>
        <w:t xml:space="preserve">MSCI Inc. (MSCI) — Q2 2026 Earnings Preview</w:t>
      </w:r>
    </w:p>
    <w:p>
      <w:pPr>
        <w:pStyle w:val="FirstParagraph"/>
      </w:pPr>
      <w:r>
        <w:rPr>
          <w:b/>
          <w:bCs/>
        </w:rPr>
        <w:t xml:space="preserve">Report date:</w:t>
      </w:r>
      <w:r>
        <w:t xml:space="preserve"> </w:t>
      </w:r>
      <w:r>
        <w:t xml:space="preserve">Tuesday, July 21, 2026 (before market open); conference call to follow</w:t>
      </w:r>
    </w:p>
    <w:p>
      <w:r>
        <w:pict>
          <v:rect style="width:0;height:1.5pt" o:hralign="center" o:hrstd="t" o:hr="t"/>
        </w:pict>
      </w:r>
    </w:p>
    <w:bookmarkStart w:id="9" w:name="setup-into-the-print"/>
    <w:p>
      <w:pPr>
        <w:pStyle w:val="Heading2"/>
      </w:pPr>
      <w:r>
        <w:t xml:space="preserve">Setup Into the Print</w:t>
      </w:r>
    </w:p>
    <w:p>
      <w:pPr>
        <w:pStyle w:val="FirstParagraph"/>
      </w:pPr>
      <w:r>
        <w:t xml:space="preserve">MSCI heads into its second-quarter report on the back of one of its strongest quarters in years and a stock that has rallied hard into the event. Shares closed at **</w:t>
      </w:r>
      <m:oMath>
        <m:r>
          <m:t>625.15</m:t>
        </m:r>
        <m:r>
          <m:t>o</m:t>
        </m:r>
        <m:r>
          <m:t>n</m:t>
        </m:r>
        <m:r>
          <m:t>J</m:t>
        </m:r>
        <m:r>
          <m:t>u</m:t>
        </m:r>
        <m:r>
          <m:t>l</m:t>
        </m:r>
        <m:r>
          <m:t>y</m:t>
        </m:r>
        <m:r>
          <m:t>20</m:t>
        </m:r>
        <m:r>
          <m:rPr>
            <m:sty m:val="p"/>
          </m:rPr>
          <m:t>*</m:t>
        </m:r>
        <m:r>
          <m:rPr>
            <m:sty m:val="p"/>
          </m:rPr>
          <m:t>*</m:t>
        </m:r>
        <m:r>
          <m:rPr>
            <m:sty m:val="p"/>
          </m:rPr>
          <m:t>,</m:t>
        </m:r>
        <m:r>
          <m:t>n</m:t>
        </m:r>
        <m:r>
          <m:t>e</m:t>
        </m:r>
        <m:r>
          <m:t>a</m:t>
        </m:r>
        <m:r>
          <m:t>r</m:t>
        </m:r>
        <m:r>
          <m:t>52</m:t>
        </m:r>
        <m:r>
          <m:rPr>
            <m:sty m:val="p"/>
          </m:rPr>
          <m:t>−</m:t>
        </m:r>
        <m:r>
          <m:t>w</m:t>
        </m:r>
        <m:r>
          <m:t>e</m:t>
        </m:r>
        <m:r>
          <m:t>e</m:t>
        </m:r>
        <m:r>
          <m:t>k</m:t>
        </m:r>
        <m:r>
          <m:t>h</m:t>
        </m:r>
        <m:r>
          <m:t>i</m:t>
        </m:r>
        <m:r>
          <m:t>g</m:t>
        </m:r>
        <m:r>
          <m:t>h</m:t>
        </m:r>
        <m:r>
          <m:t>s</m:t>
        </m:r>
        <m:r>
          <m:rPr>
            <m:sty m:val="p"/>
          </m:rPr>
          <m:t>,</m:t>
        </m:r>
        <m:r>
          <m:t>a</m:t>
        </m:r>
        <m:r>
          <m:t>f</m:t>
        </m:r>
        <m:r>
          <m:t>t</m:t>
        </m:r>
        <m:r>
          <m:t>e</m:t>
        </m:r>
        <m:r>
          <m:t>r</m:t>
        </m:r>
        <m:r>
          <m:t>a</m:t>
        </m:r>
        <m:r>
          <m:t>c</m:t>
        </m:r>
        <m:r>
          <m:t>h</m:t>
        </m:r>
        <m:r>
          <m:t>o</m:t>
        </m:r>
        <m:r>
          <m:t>p</m:t>
        </m:r>
        <m:r>
          <m:t>p</m:t>
        </m:r>
        <m:r>
          <m:t>y</m:t>
        </m:r>
        <m:r>
          <m:t>b</m:t>
        </m:r>
        <m:r>
          <m:t>u</m:t>
        </m:r>
        <m:r>
          <m:t>t</m:t>
        </m:r>
        <m:r>
          <m:t>u</m:t>
        </m:r>
        <m:r>
          <m:t>l</m:t>
        </m:r>
        <m:r>
          <m:t>t</m:t>
        </m:r>
        <m:r>
          <m:t>i</m:t>
        </m:r>
        <m:r>
          <m:t>m</m:t>
        </m:r>
        <m:r>
          <m:t>a</m:t>
        </m:r>
        <m:r>
          <m:t>t</m:t>
        </m:r>
        <m:r>
          <m:t>e</m:t>
        </m:r>
        <m:r>
          <m:t>l</m:t>
        </m:r>
        <m:r>
          <m:t>y</m:t>
        </m:r>
        <m:r>
          <m:t>s</m:t>
        </m:r>
        <m:r>
          <m:t>t</m:t>
        </m:r>
        <m:r>
          <m:t>r</m:t>
        </m:r>
        <m:r>
          <m:t>o</m:t>
        </m:r>
        <m:r>
          <m:t>n</m:t>
        </m:r>
        <m:r>
          <m:t>g</m:t>
        </m:r>
        <m:r>
          <m:t>s</m:t>
        </m:r>
        <m:r>
          <m:t>e</m:t>
        </m:r>
        <m:r>
          <m:t>c</m:t>
        </m:r>
        <m:r>
          <m:t>o</m:t>
        </m:r>
        <m:r>
          <m:t>n</m:t>
        </m:r>
        <m:r>
          <m:t>d</m:t>
        </m:r>
        <m:r>
          <m:t>q</m:t>
        </m:r>
        <m:r>
          <m:t>u</m:t>
        </m:r>
        <m:r>
          <m:t>a</m:t>
        </m:r>
        <m:r>
          <m:t>r</m:t>
        </m:r>
        <m:r>
          <m:t>t</m:t>
        </m:r>
        <m:r>
          <m:t>e</m:t>
        </m:r>
        <m:r>
          <m:t>r</m:t>
        </m:r>
        <m:r>
          <m:t>t</m:t>
        </m:r>
        <m:r>
          <m:t>h</m:t>
        </m:r>
        <m:r>
          <m:t>a</m:t>
        </m:r>
        <m:r>
          <m:t>t</m:t>
        </m:r>
        <m:r>
          <m:t>s</m:t>
        </m:r>
        <m:r>
          <m:t>a</m:t>
        </m:r>
        <m:r>
          <m:t>w</m:t>
        </m:r>
        <m:r>
          <m:t>t</m:t>
        </m:r>
        <m:r>
          <m:t>h</m:t>
        </m:r>
        <m:r>
          <m:t>e</m:t>
        </m:r>
        <m:r>
          <m:t>s</m:t>
        </m:r>
        <m:r>
          <m:t>t</m:t>
        </m:r>
        <m:r>
          <m:t>o</m:t>
        </m:r>
        <m:r>
          <m:t>c</m:t>
        </m:r>
        <m:r>
          <m:t>k</m:t>
        </m:r>
        <m:r>
          <m:t>r</m:t>
        </m:r>
        <m:r>
          <m:t>u</m:t>
        </m:r>
        <m:r>
          <m:t>n</m:t>
        </m:r>
        <m:r>
          <m:t>f</m:t>
        </m:r>
        <m:r>
          <m:t>r</m:t>
        </m:r>
        <m:r>
          <m:t>o</m:t>
        </m:r>
        <m:r>
          <m:t>m</m:t>
        </m:r>
        <m:r>
          <m:t> </m:t>
        </m:r>
      </m:oMath>
      <w:r>
        <w:t xml:space="preserve">539 (March 31) to a peak near</w:t>
      </w:r>
      <w:r>
        <w:t xml:space="preserve"> </w:t>
      </w:r>
      <m:oMath>
        <m:r>
          <m:t>644</m:t>
        </m:r>
        <m:r>
          <m:rPr>
            <m:sty m:val="p"/>
          </m:rPr>
          <m:t>(</m:t>
        </m:r>
        <m:r>
          <m:t>J</m:t>
        </m:r>
        <m:r>
          <m:t>u</m:t>
        </m:r>
        <m:r>
          <m:t>n</m:t>
        </m:r>
        <m:r>
          <m:t>e</m:t>
        </m:r>
        <m:r>
          <m:t>1</m:t>
        </m:r>
        <m:r>
          <m:rPr>
            <m:sty m:val="p"/>
          </m:rPr>
          <m:t>)</m:t>
        </m:r>
        <m:r>
          <m:rPr>
            <m:sty m:val="p"/>
          </m:rPr>
          <m:t>,</m:t>
        </m:r>
        <m:r>
          <m:t>s</m:t>
        </m:r>
        <m:r>
          <m:t>e</m:t>
        </m:r>
        <m:r>
          <m:t>l</m:t>
        </m:r>
        <m:r>
          <m:t>l</m:t>
        </m:r>
        <m:r>
          <m:t>o</m:t>
        </m:r>
        <m:r>
          <m:t>f</m:t>
        </m:r>
        <m:r>
          <m:t>f</m:t>
        </m:r>
        <m:r>
          <m:t>s</m:t>
        </m:r>
        <m:r>
          <m:t>h</m:t>
        </m:r>
        <m:r>
          <m:t>a</m:t>
        </m:r>
        <m:r>
          <m:t>r</m:t>
        </m:r>
        <m:r>
          <m:t>p</m:t>
        </m:r>
        <m:r>
          <m:t>l</m:t>
        </m:r>
        <m:r>
          <m:t>y</m:t>
        </m:r>
        <m:r>
          <m:t>i</m:t>
        </m:r>
        <m:r>
          <m:t>n</m:t>
        </m:r>
        <m:r>
          <m:t>t</m:t>
        </m:r>
        <m:r>
          <m:t>o</m:t>
        </m:r>
        <m:r>
          <m:t>t</m:t>
        </m:r>
        <m:r>
          <m:t>h</m:t>
        </m:r>
        <m:r>
          <m:t>e</m:t>
        </m:r>
        <m:r>
          <m:t>m</m:t>
        </m:r>
        <m:r>
          <m:t>i</m:t>
        </m:r>
        <m:r>
          <m:t>d</m:t>
        </m:r>
        <m:r>
          <m:rPr>
            <m:sty m:val="p"/>
          </m:rPr>
          <m:t>−</m:t>
        </m:r>
      </m:oMath>
      <w:r>
        <w:t xml:space="preserve">540s during a broad global equity/tech selloff around June 23-26, and then recover to new highs above</w:t>
      </w:r>
      <w:r>
        <w:t xml:space="preserve"> </w:t>
      </w:r>
      <m:oMath>
        <m:r>
          <m:t>620</m:t>
        </m:r>
        <m:r>
          <m:rPr>
            <m:sty m:val="p"/>
          </m:rPr>
          <m:t>−</m:t>
        </m:r>
      </m:oMath>
      <w:r>
        <w:t xml:space="preserve">637 by mid-July. That pullback coincided with a volatile week for South Korean equities and a fresh disappointment for Korea bulls when it once again missed MSCI's developed-market watchlist, but it looks to have been a market-wide risk-off move rather than an MSCI-specific event.</w:t>
      </w:r>
    </w:p>
    <w:p>
      <w:pPr>
        <w:pStyle w:val="BodyText"/>
      </w:pPr>
      <w:r>
        <w:t xml:space="preserve">Sell-side sentiment has turned increasingly bullish heading into the print, with a wave of price-target increases in the two weeks before earnings: Raymond James lifted its target to</w:t>
      </w:r>
      <w:r>
        <w:t xml:space="preserve"> </w:t>
      </w:r>
      <w:r>
        <w:rPr>
          <w:b/>
          <w:bCs/>
        </w:rPr>
        <w:t xml:space="preserve">$760** ("Strong Buy") on July 8, Barclays raised its target to **$</w:t>
      </w:r>
      <w:r>
        <w:rPr>
          <w:b/>
          <w:bCs/>
        </w:rPr>
        <w:t xml:space="preserve">735</w:t>
      </w:r>
      <w:r>
        <w:t xml:space="preserve"> </w:t>
      </w:r>
      <w:r>
        <w:t xml:space="preserve">(Overweight) on July 10, and Jefferies initiated coverage with a Buy rating in mid-July, adding to earlier upgrades including Wells Fargo's move to Overweight in late May. The average Street price target sits around $690-700, roughly 10-15% above current levels, and the stock trades at a rich ~34x trailing earnings — a premium multiple that leaves little room for a soft print.</w:t>
      </w:r>
    </w:p>
    <w:bookmarkEnd w:id="9"/>
    <w:bookmarkStart w:id="10" w:name="q1-2026-recap-a-high-bar"/>
    <w:p>
      <w:pPr>
        <w:pStyle w:val="Heading2"/>
      </w:pPr>
      <w:r>
        <w:t xml:space="preserve">Q1 2026 Recap: A High Bar</w:t>
      </w:r>
    </w:p>
    <w:p>
      <w:pPr>
        <w:pStyle w:val="FirstParagraph"/>
      </w:pPr>
      <w:r>
        <w:t xml:space="preserve">The March-quarter results set an aggressive bar. MSCI delivered</w:t>
      </w:r>
      <w:r>
        <w:t xml:space="preserve"> </w:t>
      </w:r>
      <w:r>
        <w:rPr>
          <w:b/>
          <w:bCs/>
        </w:rPr>
        <w:t xml:space="preserve">organic revenue growth of over 13%, adjusted EPS growth of nearly 14%, and adjusted EBITDA growth of almost 19%</w:t>
      </w:r>
      <w:r>
        <w:t xml:space="preserve">, with</w:t>
      </w:r>
      <w:r>
        <w:t xml:space="preserve"> </w:t>
      </w:r>
      <w:r>
        <w:rPr>
          <w:b/>
          <w:bCs/>
        </w:rPr>
        <w:t xml:space="preserve">total run rate growth of nearly 13%, fueled by a record asset-based fee run rate of</w:t>
      </w:r>
      <w:r>
        <w:rPr>
          <w:b/>
          <w:bCs/>
        </w:rPr>
        <w:t xml:space="preserve"> </w:t>
      </w:r>
      <m:oMath>
        <m:r>
          <m:t>872</m:t>
        </m:r>
        <m:r>
          <m:t>m</m:t>
        </m:r>
        <m:r>
          <m:t>i</m:t>
        </m:r>
        <m:r>
          <m:t>l</m:t>
        </m:r>
        <m:r>
          <m:t>l</m:t>
        </m:r>
        <m:r>
          <m:t>i</m:t>
        </m:r>
        <m:r>
          <m:t>o</m:t>
        </m:r>
        <m:r>
          <m:t>n</m:t>
        </m:r>
        <m:r>
          <m:rPr>
            <m:sty m:val="p"/>
          </m:rPr>
          <m:t>(</m:t>
        </m:r>
        <m:r>
          <m:rPr>
            <m:sty m:val="p"/>
          </m:rPr>
          <m:t>+</m:t>
        </m:r>
        <m:r>
          <m:t>25</m:t>
        </m:r>
      </m:oMath>
      <w:r>
        <w:rPr>
          <w:b/>
          <w:bCs/>
        </w:rPr>
        <w:t xml:space="preserve">39.6 million grew 52%</w:t>
      </w:r>
      <w:r>
        <w:t xml:space="preserve">, marking MSCI's</w:t>
      </w:r>
      <w:r>
        <w:t xml:space="preserve"> </w:t>
      </w:r>
      <w:r>
        <w:rPr>
          <w:b/>
          <w:bCs/>
        </w:rPr>
        <w:t xml:space="preserve">best first quarter for net new recurring subscription sales since 2022</w:t>
      </w:r>
      <w:r>
        <w:t xml:space="preserve">, with retention holding at 95.4%. Index subscription growth reaccelerated to double digits (10.7%), Private Capital Solutions net new sales grew ~44%, and the company posted record Q1 sales with hedge funds and banks/broker-dealers. Management framed the quarter as evidence of a genuine inflection — Fernandez noted three drivers: more aggressive selling of the existing product suite, an accelerated pace of new product launches (MSCI launched as many products in Q1 alone as in all of 2025), and rapidly increasing use of AI across data, models, and distribution.</w:t>
      </w:r>
    </w:p>
    <w:bookmarkEnd w:id="10"/>
    <w:bookmarkStart w:id="11" w:name="what-to-watch-in-q2"/>
    <w:p>
      <w:pPr>
        <w:pStyle w:val="Heading2"/>
      </w:pPr>
      <w:r>
        <w:t xml:space="preserve">What to Watch in Q2</w:t>
      </w:r>
    </w:p>
    <w:p>
      <w:pPr>
        <w:pStyle w:val="FirstParagraph"/>
      </w:pPr>
      <w:r>
        <w:rPr>
          <w:b/>
          <w:bCs/>
        </w:rPr>
        <w:t xml:space="preserve">1. Can the sales momentum carry through the seasonally important Q2?</w:t>
      </w:r>
      <w:r>
        <w:t xml:space="preserve"> </w:t>
      </w:r>
      <w:r>
        <w:t xml:space="preserve">Analysts pressed management on this during the Q1 call given Q2 is typically a heavier sales quarter; management said it saw no pullback from clients despite market volatility (aside from a slowdown in Gulf-region dialogue tied to geopolitical tension) and characterized Q4 2025 as the growth trough, with Q1 2026 building on that improvement. Investors will want confirmation that net new recurring sales growth (index, analytics, hedge funds/traders, PCS) extended rather than reverted to more modest historical rates.</w:t>
      </w:r>
    </w:p>
    <w:p>
      <w:pPr>
        <w:pStyle w:val="BodyText"/>
      </w:pPr>
      <w:r>
        <w:rPr>
          <w:b/>
          <w:bCs/>
        </w:rPr>
        <w:t xml:space="preserve">2. Analytics revenue growth should decelerate — as guided.</w:t>
      </w:r>
      <w:r>
        <w:t xml:space="preserve"> </w:t>
      </w:r>
      <w:r>
        <w:t xml:space="preserve">CFO Andy Wiechmann explicitly guided</w:t>
      </w:r>
      <w:r>
        <w:t xml:space="preserve"> </w:t>
      </w:r>
      <w:r>
        <w:rPr>
          <w:b/>
          <w:bCs/>
        </w:rPr>
        <w:t xml:space="preserve">Q2 Analytics revenue growth to "roughly 5%"</w:t>
      </w:r>
      <w:r>
        <w:t xml:space="preserve">, down from Q1's headline 10%+ growth, because Q1 benefited from a large one-time implementation recognized in non-recurring revenue. He emphasized run-rate growth (high-single digits) is the better read-through for the segment's underlying health, so a "deceleration" in reported Analytics revenue should not be read as a fundamental slowdown.</w:t>
      </w:r>
    </w:p>
    <w:p>
      <w:pPr>
        <w:pStyle w:val="BodyText"/>
      </w:pPr>
      <w:r>
        <w:rPr>
          <w:b/>
          <w:bCs/>
        </w:rPr>
        <w:t xml:space="preserve">3. Asset-based fees / Index — the biggest swing factor.</w:t>
      </w:r>
      <w:r>
        <w:t xml:space="preserve"> </w:t>
      </w:r>
      <w:r>
        <w:t xml:space="preserve">ABF run rate is directly tied to AUM in ETFs and non-ETF funds linked to MSCI indexes, and the March-quarter print showed</w:t>
      </w:r>
      <w:r>
        <w:t xml:space="preserve"> </w:t>
      </w:r>
      <w:r>
        <w:rPr>
          <w:b/>
          <w:bCs/>
        </w:rPr>
        <w:t xml:space="preserve">record Q1 inflows of $103 billion into equity ETFs linked to MSCI indexes</w:t>
      </w:r>
      <w:r>
        <w:t xml:space="preserve">, about 35% of all flows into equity index-linked ETFs, plus outsized share gains in European-listed ETFs. Global equities (S&amp;P 500 proxy) rallied roughly 15% intra-quarter (late March to June-end) despite the late-June wobble, which should support average AUM and market-appreciation tailwinds to the ABF run rate — though the period-end AUM snapshot will matter given the late-June market dip. Watch also the average basis-point fee, which slipped from 2.43bps to 2.35bps in Q1 on mix shift toward lower-fee products.</w:t>
      </w:r>
    </w:p>
    <w:p>
      <w:pPr>
        <w:pStyle w:val="BodyText"/>
      </w:pPr>
      <w:r>
        <w:rPr>
          <w:b/>
          <w:bCs/>
        </w:rPr>
        <w:t xml:space="preserve">4. Sustainability &amp; Climate remains the soft spot.</w:t>
      </w:r>
      <w:r>
        <w:t xml:space="preserve"> </w:t>
      </w:r>
      <w:r>
        <w:t xml:space="preserve">Management explicitly flagged that "muted growth" in Sustainability and Climate is likely to continue near-term as clients rationalize spend, even as MSCI claims share gains from competitors; Climate is described as "cautiously optimistic," aided by a notable win with Germany's central bank on climate risk tools. This segment's trajectory (recurring sales vs. cancels) is worth tracking for signs of stabilization.</w:t>
      </w:r>
    </w:p>
    <w:p>
      <w:pPr>
        <w:pStyle w:val="BodyText"/>
      </w:pPr>
      <w:r>
        <w:rPr>
          <w:b/>
          <w:bCs/>
        </w:rPr>
        <w:t xml:space="preserve">5. Private Capital Solutions momentum and integration of bolt-on M&amp;A.</w:t>
      </w:r>
      <w:r>
        <w:t xml:space="preserve"> </w:t>
      </w:r>
      <w:r>
        <w:t xml:space="preserve">PCS subscription run-rate growth accelerated to ~16% in Q1, and MSCI closed three small acquisitions during/after the quarter — Compass Financial Technologies (index calculation for commodities/digital assets/derivatives), Vantager (AI-native due-diligence platform), and PM Insights (secondary-market pricing for late-stage venture). A June 25 investor webinar with newly hired Head of Private Assets Luke Flemmer reinforced the growth narrative around total-portfolio integration, private-credit transparency/NAV-forecasting tools, and new classification standards (PACS/CRETS), positioning private assets (~$300M run rate today) as a structural growth driver, though management was candid that competitive execution — not the macro backdrop — is the key swing risk.</w:t>
      </w:r>
    </w:p>
    <w:p>
      <w:pPr>
        <w:pStyle w:val="BodyText"/>
      </w:pPr>
      <w:r>
        <w:rPr>
          <w:b/>
          <w:bCs/>
        </w:rPr>
        <w:t xml:space="preserve">6. Guidance and margin trajectory.</w:t>
      </w:r>
      <w:r>
        <w:t xml:space="preserve"> </w:t>
      </w:r>
      <w:r>
        <w:t xml:space="preserve">Full-year 2026 guidance was reiterated at Q1 (opex $1,490-1,530M; adjusted EBITDA expense $1,305-1,335M; FCF $1,470-1,530M), with D&amp;A nudged up $5M for acquisition-related intangibles. Management said it is</w:t>
      </w:r>
      <w:r>
        <w:t xml:space="preserve"> </w:t>
      </w:r>
      <w:r>
        <w:rPr>
          <w:b/>
          <w:bCs/>
        </w:rPr>
        <w:t xml:space="preserve">"trending to be in the top half of our expense guidance range"</w:t>
      </w:r>
      <w:r>
        <w:t xml:space="preserve"> </w:t>
      </w:r>
      <w:r>
        <w:t xml:space="preserve">given strong ABF performance and gradual assumed market appreciation — worth confirming this quarter. Also watch the effective tax rate, guided to</w:t>
      </w:r>
      <w:r>
        <w:t xml:space="preserve"> </w:t>
      </w:r>
      <w:r>
        <w:rPr>
          <w:b/>
          <w:bCs/>
        </w:rPr>
        <w:t xml:space="preserve">18-20% for Q2</w:t>
      </w:r>
      <w:r>
        <w:t xml:space="preserve">, normalizing after Q1's anomalous negative rate driven by an $88 million discrete benefit from an internal legal-entity restructuring.</w:t>
      </w:r>
    </w:p>
    <w:p>
      <w:pPr>
        <w:pStyle w:val="BodyText"/>
      </w:pPr>
      <w:r>
        <w:rPr>
          <w:b/>
          <w:bCs/>
        </w:rPr>
        <w:t xml:space="preserve">7. Capital returns.</w:t>
      </w:r>
      <w:r>
        <w:t xml:space="preserve"> </w:t>
      </w:r>
      <w:r>
        <w:t xml:space="preserve">MSCI repurchased</w:t>
      </w:r>
      <w:r>
        <w:t xml:space="preserve"> </w:t>
      </w:r>
      <w:r>
        <w:rPr>
          <w:b/>
          <w:bCs/>
        </w:rPr>
        <w:t xml:space="preserve">over</w:t>
      </w:r>
      <w:r>
        <w:rPr>
          <w:b/>
          <w:bCs/>
        </w:rPr>
        <w:t xml:space="preserve"> </w:t>
      </w:r>
      <m:oMath>
        <m:r>
          <m:t>464</m:t>
        </m:r>
        <m:r>
          <m:t>m</m:t>
        </m:r>
        <m:r>
          <m:t>i</m:t>
        </m:r>
        <m:r>
          <m:t>l</m:t>
        </m:r>
        <m:r>
          <m:t>l</m:t>
        </m:r>
        <m:r>
          <m:t>i</m:t>
        </m:r>
        <m:r>
          <m:t>o</m:t>
        </m:r>
        <m:r>
          <m:t>n</m:t>
        </m:r>
        <m:r>
          <m:t>o</m:t>
        </m:r>
        <m:r>
          <m:t>f</m:t>
        </m:r>
        <m:r>
          <m:t>s</m:t>
        </m:r>
        <m:r>
          <m:t>t</m:t>
        </m:r>
        <m:r>
          <m:t>o</m:t>
        </m:r>
        <m:r>
          <m:t>c</m:t>
        </m:r>
        <m:r>
          <m:t>k</m:t>
        </m:r>
        <m:r>
          <m:t>t</m:t>
        </m:r>
        <m:r>
          <m:t>h</m:t>
        </m:r>
        <m:r>
          <m:t>r</m:t>
        </m:r>
        <m:r>
          <m:t>o</m:t>
        </m:r>
        <m:r>
          <m:t>u</m:t>
        </m:r>
        <m:r>
          <m:t>g</m:t>
        </m:r>
        <m:r>
          <m:t>h</m:t>
        </m:r>
        <m:r>
          <m:t>A</m:t>
        </m:r>
        <m:r>
          <m:t>p</m:t>
        </m:r>
        <m:r>
          <m:t>r</m:t>
        </m:r>
        <m:r>
          <m:t>i</m:t>
        </m:r>
        <m:r>
          <m:t>l</m:t>
        </m:r>
        <m:r>
          <m:t>20</m:t>
        </m:r>
        <m:r>
          <m:t>a</m:t>
        </m:r>
        <m:r>
          <m:t>t</m:t>
        </m:r>
        <m:r>
          <m:t>a</m:t>
        </m:r>
        <m:r>
          <m:t>n</m:t>
        </m:r>
        <m:r>
          <m:t>a</m:t>
        </m:r>
        <m:r>
          <m:t>v</m:t>
        </m:r>
        <m:r>
          <m:t>e</m:t>
        </m:r>
        <m:r>
          <m:t>r</m:t>
        </m:r>
        <m:r>
          <m:t>a</m:t>
        </m:r>
        <m:r>
          <m:t>g</m:t>
        </m:r>
        <m:r>
          <m:t>e</m:t>
        </m:r>
        <m:r>
          <m:t>p</m:t>
        </m:r>
        <m:r>
          <m:t>r</m:t>
        </m:r>
        <m:r>
          <m:t>i</m:t>
        </m:r>
        <m:r>
          <m:t>c</m:t>
        </m:r>
        <m:r>
          <m:t>e</m:t>
        </m:r>
        <m:r>
          <m:t>o</m:t>
        </m:r>
        <m:r>
          <m:t>f</m:t>
        </m:r>
        <m:r>
          <m:t> </m:t>
        </m:r>
      </m:oMath>
      <w:r>
        <w:rPr>
          <w:b/>
          <w:bCs/>
        </w:rPr>
        <w:t xml:space="preserve">556</w:t>
      </w:r>
      <w:r>
        <w:t xml:space="preserve">, with</w:t>
      </w:r>
      <w:r>
        <w:t xml:space="preserve"> </w:t>
      </w:r>
      <w:r>
        <w:rPr>
          <w:b/>
          <w:bCs/>
        </w:rPr>
        <w:t xml:space="preserve">~</w:t>
      </w:r>
      <m:oMath>
        <m:r>
          <m:t>1.7</m:t>
        </m:r>
        <m:r>
          <m:t>b</m:t>
        </m:r>
        <m:r>
          <m:t>i</m:t>
        </m:r>
        <m:r>
          <m:t>l</m:t>
        </m:r>
        <m:r>
          <m:t>l</m:t>
        </m:r>
        <m:r>
          <m:t>i</m:t>
        </m:r>
        <m:r>
          <m:t>o</m:t>
        </m:r>
        <m:r>
          <m:t>n</m:t>
        </m:r>
        <m:r>
          <m:t>r</m:t>
        </m:r>
        <m:r>
          <m:t>e</m:t>
        </m:r>
        <m:r>
          <m:t>m</m:t>
        </m:r>
        <m:r>
          <m:t>a</m:t>
        </m:r>
        <m:r>
          <m:t>i</m:t>
        </m:r>
        <m:r>
          <m:t>n</m:t>
        </m:r>
        <m:r>
          <m:t>i</m:t>
        </m:r>
        <m:r>
          <m:t>n</m:t>
        </m:r>
        <m:r>
          <m:t>g</m:t>
        </m:r>
        <m:r>
          <m:rPr>
            <m:sty m:val="p"/>
          </m:rPr>
          <m:t>*</m:t>
        </m:r>
        <m:r>
          <m:rPr>
            <m:sty m:val="p"/>
          </m:rPr>
          <m:t>*</m:t>
        </m:r>
        <m:r>
          <m:t>o</m:t>
        </m:r>
        <m:r>
          <m:t>n</m:t>
        </m:r>
        <m:r>
          <m:t>t</m:t>
        </m:r>
        <m:r>
          <m:t>h</m:t>
        </m:r>
        <m:r>
          <m:t>e</m:t>
        </m:r>
        <m:r>
          <m:t>a</m:t>
        </m:r>
        <m:r>
          <m:t>u</m:t>
        </m:r>
        <m:r>
          <m:t>t</m:t>
        </m:r>
        <m:r>
          <m:t>h</m:t>
        </m:r>
        <m:r>
          <m:t>o</m:t>
        </m:r>
        <m:r>
          <m:t>r</m:t>
        </m:r>
        <m:r>
          <m:t>i</m:t>
        </m:r>
        <m:r>
          <m:t>z</m:t>
        </m:r>
        <m:r>
          <m:t>a</m:t>
        </m:r>
        <m:r>
          <m:t>t</m:t>
        </m:r>
        <m:r>
          <m:t>i</m:t>
        </m:r>
        <m:r>
          <m:t>o</m:t>
        </m:r>
        <m:r>
          <m:t>n</m:t>
        </m:r>
        <m:r>
          <m:rPr>
            <m:sty m:val="p"/>
          </m:rPr>
          <m:t>,</m:t>
        </m:r>
        <m:r>
          <m:t>a</m:t>
        </m:r>
        <m:r>
          <m:t>n</m:t>
        </m:r>
        <m:r>
          <m:t>d</m:t>
        </m:r>
        <m:r>
          <m:t>d</m:t>
        </m:r>
        <m:r>
          <m:t>e</m:t>
        </m:r>
        <m:r>
          <m:t>c</m:t>
        </m:r>
        <m:r>
          <m:t>l</m:t>
        </m:r>
        <m:r>
          <m:t>a</m:t>
        </m:r>
        <m:r>
          <m:t>r</m:t>
        </m:r>
        <m:r>
          <m:t>e</m:t>
        </m:r>
        <m:r>
          <m:t>d</m:t>
        </m:r>
        <m:r>
          <m:t>a</m:t>
        </m:r>
        <m:r>
          <m:rPr>
            <m:sty m:val="p"/>
          </m:rPr>
          <m:t>*</m:t>
        </m:r>
        <m:r>
          <m:rPr>
            <m:sty m:val="p"/>
          </m:rPr>
          <m:t>*</m:t>
        </m:r>
      </m:oMath>
      <w:r>
        <w:rPr>
          <w:b/>
          <w:bCs/>
        </w:rPr>
        <w:t xml:space="preserve">2.05/share dividend for Q2</w:t>
      </w:r>
      <w:r>
        <w:t xml:space="preserve">. With the stock now well above that average repurchase price, watch commentary on repurchase pace/valuation discipline.</w:t>
      </w:r>
    </w:p>
    <w:bookmarkEnd w:id="11"/>
    <w:bookmarkStart w:id="12" w:name="consensus-expectations"/>
    <w:p>
      <w:pPr>
        <w:pStyle w:val="Heading2"/>
      </w:pPr>
      <w:r>
        <w:t xml:space="preserve">Consensus Expectations</w:t>
      </w:r>
    </w:p>
    <w:p>
      <w:pPr>
        <w:pStyle w:val="FirstParagraph"/>
      </w:pPr>
      <w:r>
        <w:t xml:space="preserve">Per sell-side aggregators ahead of the print, the</w:t>
      </w:r>
      <w:r>
        <w:t xml:space="preserve"> </w:t>
      </w:r>
      <w:r>
        <w:rPr>
          <w:b/>
          <w:bCs/>
        </w:rPr>
        <w:t xml:space="preserve">Zacks Consensus Estimate for Q2 2026 EPS is</w:t>
      </w:r>
      <w:r>
        <w:rPr>
          <w:b/>
          <w:bCs/>
        </w:rPr>
        <w:t xml:space="preserve"> </w:t>
      </w:r>
      <m:oMath>
        <m:r>
          <m:t>4.89</m:t>
        </m:r>
        <m:r>
          <m:rPr>
            <m:sty m:val="p"/>
          </m:rPr>
          <m:t>*</m:t>
        </m:r>
        <m:r>
          <m:rPr>
            <m:sty m:val="p"/>
          </m:rPr>
          <m:t>*</m:t>
        </m:r>
        <m:r>
          <m:rPr>
            <m:sty m:val="p"/>
          </m:rPr>
          <m:t>(</m:t>
        </m:r>
        <m:r>
          <m:t>r</m:t>
        </m:r>
        <m:r>
          <m:t>e</m:t>
        </m:r>
        <m:r>
          <m:t>v</m:t>
        </m:r>
        <m:r>
          <m:t>i</m:t>
        </m:r>
        <m:r>
          <m:t>s</m:t>
        </m:r>
        <m:r>
          <m:t>e</m:t>
        </m:r>
        <m:r>
          <m:t>d</m:t>
        </m:r>
        <m:r>
          <m:t>u</m:t>
        </m:r>
        <m:r>
          <m:t>p</m:t>
        </m:r>
        <m:r>
          <m:t> </m:t>
        </m:r>
        <m:r>
          <m:t>1.45</m:t>
        </m:r>
      </m:oMath>
      <w:r>
        <w:rPr>
          <w:b/>
          <w:bCs/>
        </w:rPr>
        <w:t xml:space="preserve">4.82-</w:t>
      </w:r>
      <m:oMath>
        <m:r>
          <m:t>4.95</m:t>
        </m:r>
        <m:r>
          <m:rPr>
            <m:sty m:val="p"/>
          </m:rPr>
          <m:t>*</m:t>
        </m:r>
        <m:r>
          <m:rPr>
            <m:sty m:val="p"/>
          </m:rPr>
          <m:t>*</m:t>
        </m:r>
        <m:r>
          <m:t>a</m:t>
        </m:r>
        <m:r>
          <m:t>n</m:t>
        </m:r>
        <m:r>
          <m:t>d</m:t>
        </m:r>
        <m:r>
          <m:t>r</m:t>
        </m:r>
        <m:r>
          <m:t>e</m:t>
        </m:r>
        <m:r>
          <m:t>v</m:t>
        </m:r>
        <m:r>
          <m:t>e</m:t>
        </m:r>
        <m:r>
          <m:t>n</m:t>
        </m:r>
        <m:r>
          <m:t>u</m:t>
        </m:r>
        <m:r>
          <m:t>e</m:t>
        </m:r>
        <m:r>
          <m:t>c</m:t>
        </m:r>
        <m:r>
          <m:t>o</m:t>
        </m:r>
        <m:r>
          <m:t>n</m:t>
        </m:r>
        <m:r>
          <m:t>s</m:t>
        </m:r>
        <m:r>
          <m:t>e</m:t>
        </m:r>
        <m:r>
          <m:t>n</m:t>
        </m:r>
        <m:r>
          <m:t>s</m:t>
        </m:r>
        <m:r>
          <m:t>u</m:t>
        </m:r>
        <m:r>
          <m:t>s</m:t>
        </m:r>
        <m:r>
          <m:t>a</m:t>
        </m:r>
        <m:r>
          <m:t>r</m:t>
        </m:r>
        <m:r>
          <m:t>o</m:t>
        </m:r>
        <m:r>
          <m:t>u</m:t>
        </m:r>
        <m:r>
          <m:t>n</m:t>
        </m:r>
        <m:r>
          <m:t>d</m:t>
        </m:r>
        <m:r>
          <m:rPr>
            <m:sty m:val="p"/>
          </m:rPr>
          <m:t>*</m:t>
        </m:r>
        <m:r>
          <m:rPr>
            <m:sty m:val="p"/>
          </m:rPr>
          <m:t>*</m:t>
        </m:r>
      </m:oMath>
      <w:r>
        <w:rPr>
          <w:b/>
          <w:bCs/>
        </w:rPr>
        <w:t xml:space="preserve">877 million</w:t>
      </w:r>
      <w:r>
        <w:t xml:space="preserve"> </w:t>
      </w:r>
      <w:r>
        <w:t xml:space="preserve">— implying roughly 13-14% year-over-year revenue growth versus Q2 2025's reported</w:t>
      </w:r>
      <w:r>
        <w:t xml:space="preserve"> </w:t>
      </w:r>
      <m:oMath>
        <m:r>
          <m:t>772.7</m:t>
        </m:r>
        <m:r>
          <m:t>m</m:t>
        </m:r>
        <m:r>
          <m:t>i</m:t>
        </m:r>
        <m:r>
          <m:t>l</m:t>
        </m:r>
        <m:r>
          <m:t>l</m:t>
        </m:r>
        <m:r>
          <m:t>i</m:t>
        </m:r>
        <m:r>
          <m:t>o</m:t>
        </m:r>
        <m:r>
          <m:t>n</m:t>
        </m:r>
        <m:r>
          <m:rPr>
            <m:sty m:val="p"/>
          </m:rPr>
          <m:t>.</m:t>
        </m:r>
        <m:r>
          <m:t>M</m:t>
        </m:r>
        <m:r>
          <m:t>S</m:t>
        </m:r>
        <m:r>
          <m:t>C</m:t>
        </m:r>
        <m:r>
          <m:t>I</m:t>
        </m:r>
        <m:r>
          <m:t>h</m:t>
        </m:r>
        <m:r>
          <m:t>a</m:t>
        </m:r>
        <m:r>
          <m:t>s</m:t>
        </m:r>
        <m:r>
          <m:t>t</m:t>
        </m:r>
        <m:r>
          <m:t>o</m:t>
        </m:r>
        <m:r>
          <m:t>p</m:t>
        </m:r>
        <m:r>
          <m:t>p</m:t>
        </m:r>
        <m:r>
          <m:t>e</m:t>
        </m:r>
        <m:r>
          <m:t>d</m:t>
        </m:r>
        <m:r>
          <m:t>c</m:t>
        </m:r>
        <m:r>
          <m:t>o</m:t>
        </m:r>
        <m:r>
          <m:t>n</m:t>
        </m:r>
        <m:r>
          <m:t>s</m:t>
        </m:r>
        <m:r>
          <m:t>e</m:t>
        </m:r>
        <m:r>
          <m:t>n</m:t>
        </m:r>
        <m:r>
          <m:t>s</m:t>
        </m:r>
        <m:r>
          <m:t>u</m:t>
        </m:r>
        <m:r>
          <m:t>s</m:t>
        </m:r>
        <m:r>
          <m:t>E</m:t>
        </m:r>
        <m:r>
          <m:t>P</m:t>
        </m:r>
        <m:r>
          <m:t>S</m:t>
        </m:r>
        <m:r>
          <m:t>i</m:t>
        </m:r>
        <m:r>
          <m:t>n</m:t>
        </m:r>
        <m:r>
          <m:t>e</m:t>
        </m:r>
        <m:r>
          <m:t>a</m:t>
        </m:r>
        <m:r>
          <m:t>c</m:t>
        </m:r>
        <m:r>
          <m:t>h</m:t>
        </m:r>
        <m:r>
          <m:t>o</m:t>
        </m:r>
        <m:r>
          <m:t>f</m:t>
        </m:r>
        <m:r>
          <m:t>t</m:t>
        </m:r>
        <m:r>
          <m:t>h</m:t>
        </m:r>
        <m:r>
          <m:t>e</m:t>
        </m:r>
        <m:r>
          <m:t>l</m:t>
        </m:r>
        <m:r>
          <m:t>a</m:t>
        </m:r>
        <m:r>
          <m:t>s</m:t>
        </m:r>
        <m:r>
          <m:t>t</m:t>
        </m:r>
        <m:r>
          <m:t>s</m:t>
        </m:r>
        <m:r>
          <m:t>e</m:t>
        </m:r>
        <m:r>
          <m:t>v</m:t>
        </m:r>
        <m:r>
          <m:t>e</m:t>
        </m:r>
        <m:r>
          <m:t>r</m:t>
        </m:r>
        <m:r>
          <m:t>a</m:t>
        </m:r>
        <m:r>
          <m:t>l</m:t>
        </m:r>
        <m:r>
          <m:t>q</m:t>
        </m:r>
        <m:r>
          <m:t>u</m:t>
        </m:r>
        <m:r>
          <m:t>a</m:t>
        </m:r>
        <m:r>
          <m:t>r</m:t>
        </m:r>
        <m:r>
          <m:t>t</m:t>
        </m:r>
        <m:r>
          <m:t>e</m:t>
        </m:r>
        <m:r>
          <m:t>r</m:t>
        </m:r>
        <m:r>
          <m:t>s</m:t>
        </m:r>
        <m:r>
          <m:rPr>
            <m:sty m:val="p"/>
          </m:rPr>
          <m:t>,</m:t>
        </m:r>
        <m:r>
          <m:t>a</m:t>
        </m:r>
        <m:r>
          <m:t>n</m:t>
        </m:r>
        <m:r>
          <m:t>d</m:t>
        </m:r>
        <m:r>
          <m:t>f</m:t>
        </m:r>
        <m:r>
          <m:t>u</m:t>
        </m:r>
        <m:r>
          <m:t>l</m:t>
        </m:r>
        <m:r>
          <m:t>l</m:t>
        </m:r>
        <m:r>
          <m:rPr>
            <m:sty m:val="p"/>
          </m:rPr>
          <m:t>−</m:t>
        </m:r>
        <m:r>
          <m:t>y</m:t>
        </m:r>
        <m:r>
          <m:t>e</m:t>
        </m:r>
        <m:r>
          <m:t>a</m:t>
        </m:r>
        <m:r>
          <m:t>r</m:t>
        </m:r>
        <m:r>
          <m:t>2026</m:t>
        </m:r>
        <m:r>
          <m:t>c</m:t>
        </m:r>
        <m:r>
          <m:t>o</m:t>
        </m:r>
        <m:r>
          <m:t>n</m:t>
        </m:r>
        <m:r>
          <m:t>s</m:t>
        </m:r>
        <m:r>
          <m:t>e</m:t>
        </m:r>
        <m:r>
          <m:t>n</m:t>
        </m:r>
        <m:r>
          <m:t>s</m:t>
        </m:r>
        <m:r>
          <m:t>u</m:t>
        </m:r>
        <m:r>
          <m:t>s</m:t>
        </m:r>
        <m:r>
          <m:t>E</m:t>
        </m:r>
        <m:r>
          <m:t>P</m:t>
        </m:r>
        <m:r>
          <m:t>S</m:t>
        </m:r>
        <m:r>
          <m:t>s</m:t>
        </m:r>
        <m:r>
          <m:t>i</m:t>
        </m:r>
        <m:r>
          <m:t>t</m:t>
        </m:r>
        <m:r>
          <m:t>s</m:t>
        </m:r>
        <m:r>
          <m:t>n</m:t>
        </m:r>
        <m:r>
          <m:t>e</m:t>
        </m:r>
        <m:r>
          <m:t>a</m:t>
        </m:r>
        <m:r>
          <m:t>r</m:t>
        </m:r>
        <m:r>
          <m:t>t</m:t>
        </m:r>
        <m:r>
          <m:t>h</m:t>
        </m:r>
        <m:r>
          <m:t>e</m:t>
        </m:r>
        <m:r>
          <m:t>h</m:t>
        </m:r>
        <m:r>
          <m:t>i</m:t>
        </m:r>
        <m:r>
          <m:t>g</m:t>
        </m:r>
        <m:r>
          <m:t>h</m:t>
        </m:r>
        <m:r>
          <m:rPr>
            <m:sty m:val="p"/>
          </m:rPr>
          <m:t>−</m:t>
        </m:r>
        <m:r>
          <m:t>t</m:t>
        </m:r>
        <m:r>
          <m:t>e</m:t>
        </m:r>
        <m:r>
          <m:t>e</m:t>
        </m:r>
        <m:r>
          <m:t>n</m:t>
        </m:r>
        <m:r>
          <m:t>s</m:t>
        </m:r>
        <m:r>
          <m:rPr>
            <m:sty m:val="p"/>
          </m:rPr>
          <m:t>(</m:t>
        </m:r>
        <m:r>
          <m:t> </m:t>
        </m:r>
      </m:oMath>
      <w:r>
        <w:t xml:space="preserve">19-20), underpinning the stock's premium multiple.</w:t>
      </w:r>
    </w:p>
    <w:bookmarkEnd w:id="12"/>
    <w:bookmarkStart w:id="13" w:name="key-riskswatch-items-into-the-quarter"/>
    <w:p>
      <w:pPr>
        <w:pStyle w:val="Heading2"/>
      </w:pPr>
      <w:r>
        <w:t xml:space="preserve">Key Risks/Watch Items Into the Quarter</w:t>
      </w:r>
    </w:p>
    <w:p>
      <w:pPr>
        <w:pStyle w:val="Compact"/>
        <w:numPr>
          <w:ilvl w:val="0"/>
          <w:numId w:val="1001"/>
        </w:numPr>
      </w:pPr>
      <w:r>
        <w:rPr>
          <w:b/>
          <w:bCs/>
        </w:rPr>
        <w:t xml:space="preserve">Valuation risk:</w:t>
      </w:r>
      <w:r>
        <w:t xml:space="preserve"> </w:t>
      </w:r>
      <w:r>
        <w:t xml:space="preserve">shares trade near all-time highs and a rich multiple heading into the print, raising the bar for a "beat and raise."</w:t>
      </w:r>
    </w:p>
    <w:p>
      <w:pPr>
        <w:pStyle w:val="Compact"/>
        <w:numPr>
          <w:ilvl w:val="0"/>
          <w:numId w:val="1001"/>
        </w:numPr>
      </w:pPr>
      <w:r>
        <w:rPr>
          <w:b/>
          <w:bCs/>
        </w:rPr>
        <w:t xml:space="preserve">Market-driven ABF sensitivity:</w:t>
      </w:r>
      <w:r>
        <w:t xml:space="preserve"> </w:t>
      </w:r>
      <w:r>
        <w:t xml:space="preserve">any late-quarter equity drawdown (as occurred in late June) could crimp the AUM snapshot used for ABF run-rate calculations even if flows remain strong.</w:t>
      </w:r>
    </w:p>
    <w:p>
      <w:pPr>
        <w:pStyle w:val="Compact"/>
        <w:numPr>
          <w:ilvl w:val="0"/>
          <w:numId w:val="1001"/>
        </w:numPr>
      </w:pPr>
      <w:r>
        <w:rPr>
          <w:b/>
          <w:bCs/>
        </w:rPr>
        <w:t xml:space="preserve">Sustainability &amp; Climate drag</w:t>
      </w:r>
      <w:r>
        <w:t xml:space="preserve"> </w:t>
      </w:r>
      <w:r>
        <w:t xml:space="preserve">persisting longer than hoped.</w:t>
      </w:r>
    </w:p>
    <w:p>
      <w:pPr>
        <w:pStyle w:val="Compact"/>
        <w:numPr>
          <w:ilvl w:val="0"/>
          <w:numId w:val="1001"/>
        </w:numPr>
      </w:pPr>
      <w:r>
        <w:rPr>
          <w:b/>
          <w:bCs/>
        </w:rPr>
        <w:t xml:space="preserve">Geopolitical/macro noise</w:t>
      </w:r>
      <w:r>
        <w:t xml:space="preserve"> </w:t>
      </w:r>
      <w:r>
        <w:t xml:space="preserve">(Gulf-region tensions, tariff/trade headlines, EM/DM classification controversies such as South Korea's repeated developed-market snub) as a sentiment overhang, even though management said client demand has been resilient through prior volatility.</w:t>
      </w:r>
    </w:p>
    <w:p>
      <w:pPr>
        <w:pStyle w:val="Compact"/>
        <w:numPr>
          <w:ilvl w:val="0"/>
          <w:numId w:val="1001"/>
        </w:numPr>
      </w:pPr>
      <w:r>
        <w:rPr>
          <w:b/>
          <w:bCs/>
        </w:rPr>
        <w:t xml:space="preserve">FX and tax-rate normalization</w:t>
      </w:r>
      <w:r>
        <w:t xml:space="preserve"> </w:t>
      </w:r>
      <w:r>
        <w:t xml:space="preserve">creating year-over-year comparability noise versus Q1's distorted effective tax rate.</w:t>
      </w:r>
    </w:p>
    <w:bookmarkEnd w:id="13"/>
    <w:bookmarkStart w:id="14" w:name="bottom-line"/>
    <w:p>
      <w:pPr>
        <w:pStyle w:val="Heading2"/>
      </w:pPr>
      <w:r>
        <w:t xml:space="preserve">Bottom Line</w:t>
      </w:r>
    </w:p>
    <w:p>
      <w:pPr>
        <w:pStyle w:val="FirstParagraph"/>
      </w:pPr>
      <w:r>
        <w:t xml:space="preserve">MSCI enters Q2 2026 earnings with strong underlying momentum — record asset-based fees, reaccelerating Index and Private Capital Solutions growth, an AI-driven product cycle, and continued capital returns — set against a stock priced for continued outperformance and a Street that has been raising price targets into the print. The key swing factors for the quarter are whether net-new sales momentum extended through the seasonally important Q2, how the guided Analytics deceleration nets out against run-rate trends, and whether the strong equity-market backdrop for most of the quarter translated into another leg up in asset-based fee run rate despite the late-June volatility.</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2026-07-21T00:51:50Z</dcterms:created>
  <dcterms:modified xsi:type="dcterms:W3CDTF">2026-07-21T00:51:50Z</dcterms:modified>
</cp:coreProperties>
</file>

<file path=docProps/custom.xml><?xml version="1.0" encoding="utf-8"?>
<Properties xmlns="http://schemas.openxmlformats.org/officeDocument/2006/custom-properties" xmlns:vt="http://schemas.openxmlformats.org/officeDocument/2006/docPropsVTypes"/>
</file>