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ci-earnings-predictions--2026-07-21"/>
    <w:p>
      <w:pPr>
        <w:pStyle w:val="Heading1"/>
      </w:pPr>
      <w:r>
        <w:t xml:space="preserve">MSCI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~$878M vs. cons $865M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~$5.10 vs. cons $4.91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recurring subscription run-rate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~8.0% vs. cons 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free cash flow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~$1.50B vs. cons $1.51B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adjusted EBITDA expense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~$1.32B vs. cons $1.32B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+3.6% (FOLLOW-THROUGH)</w:t>
            </w:r>
          </w:p>
        </w:tc>
        <w:tc>
          <w:tcPr/>
          <w:p>
            <w:pPr>
              <w:pStyle w:val="Compact"/>
            </w:pPr>
            <w:r>
              <w:t xml:space="preserve">Predicted +3.6% five-day residual vs. +2.8% day-1 residual: strong asset-based-fee revenue and elevated quarter-end linked AUM should lift Q3 and FY2026 estimates after the initial beat, while in-line subscription growth and unchanged expense guidance limit the magnitude.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2026-07-21T00:49:53Z</dcterms:created>
  <dcterms:modified xsi:type="dcterms:W3CDTF">2026-07-21T00:49:53Z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