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msci-q2-2026-earnings-preview"/>
    <w:p>
      <w:pPr>
        <w:pStyle w:val="Heading1"/>
      </w:pPr>
      <w:r>
        <w:t xml:space="preserve">MSCI Q2 2026 Earnings Preview</w:t>
      </w:r>
    </w:p>
    <w:p>
      <w:pPr>
        <w:pStyle w:val="BlockText"/>
      </w:pPr>
      <w:r>
        <w:rPr>
          <w:b/>
          <w:bCs/>
        </w:rPr>
        <w:t xml:space="preserve">Date check:</w:t>
      </w:r>
      <w:r>
        <w:t xml:space="preserve"> </w:t>
      </w:r>
      <w:r>
        <w:t xml:space="preserve">MSCI is scheduled to release Q2 results</w:t>
      </w:r>
      <w:r>
        <w:t xml:space="preserve"> </w:t>
      </w:r>
      <w:r>
        <w:rPr>
          <w:b/>
          <w:bCs/>
        </w:rPr>
        <w:t xml:space="preserve">today, Tuesday, July 21, 2026, before the market opens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11:00 a.m. ET</w:t>
      </w:r>
      <w:r>
        <w:t xml:space="preserve">—not tomorrow. (</w:t>
      </w:r>
      <w:hyperlink r:id="rId9">
        <w:r>
          <w:rPr>
            <w:rStyle w:val="Hyperlink"/>
          </w:rPr>
          <w:t xml:space="preserve">ir.msci.com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MSCI should deliver another strong quarter, primarily because asset-based fees are benefiting from a sharp increase in assets linked to its equity indexes. The more important question is whether the company can pair that market-driven strength with sustained acceleration in subscription sales.</w:t>
      </w:r>
    </w:p>
    <w:p>
      <w:pPr>
        <w:pStyle w:val="BodyText"/>
      </w:pPr>
      <w:r>
        <w:t xml:space="preserve">In other words,</w:t>
      </w:r>
      <w:r>
        <w:t xml:space="preserve"> </w:t>
      </w:r>
      <w:r>
        <w:rPr>
          <w:b/>
          <w:bCs/>
        </w:rPr>
        <w:t xml:space="preserve">the headline numbers should be good; the quality and breadth of growth will determine the reaction</w:t>
      </w:r>
      <w:r>
        <w:t xml:space="preserve">. Investors should focus on:</w:t>
      </w:r>
    </w:p>
    <w:p>
      <w:pPr>
        <w:pStyle w:val="Compact"/>
        <w:numPr>
          <w:ilvl w:val="0"/>
          <w:numId w:val="1001"/>
        </w:numPr>
      </w:pPr>
      <w:r>
        <w:t xml:space="preserve">How much ETF AUM growth translated into asset-based-fee revenue.</w:t>
      </w:r>
    </w:p>
    <w:p>
      <w:pPr>
        <w:pStyle w:val="Compact"/>
        <w:numPr>
          <w:ilvl w:val="0"/>
          <w:numId w:val="1001"/>
        </w:numPr>
      </w:pPr>
      <w:r>
        <w:t xml:space="preserve">Whether Q1’s unusually strong Index and Analytics sales continued.</w:t>
      </w:r>
    </w:p>
    <w:p>
      <w:pPr>
        <w:pStyle w:val="Compact"/>
        <w:numPr>
          <w:ilvl w:val="0"/>
          <w:numId w:val="1001"/>
        </w:numPr>
      </w:pPr>
      <w:r>
        <w:t xml:space="preserve">Retention and cancellations, particularly in Sustainability and Climate.</w:t>
      </w:r>
    </w:p>
    <w:p>
      <w:pPr>
        <w:pStyle w:val="Compact"/>
        <w:numPr>
          <w:ilvl w:val="0"/>
          <w:numId w:val="1001"/>
        </w:numPr>
      </w:pPr>
      <w:r>
        <w:t xml:space="preserve">Evidence that private-assets and AI investments are becoming meaningful commercial drivers.</w:t>
      </w:r>
    </w:p>
    <w:p>
      <w:pPr>
        <w:pStyle w:val="Compact"/>
        <w:numPr>
          <w:ilvl w:val="0"/>
          <w:numId w:val="1001"/>
        </w:numPr>
      </w:pPr>
      <w:r>
        <w:t xml:space="preserve">Whether stronger revenue is flowing through to margins—or being absorbed by reinvestment and acquisitions.</w:t>
      </w:r>
    </w:p>
    <w:bookmarkEnd w:id="10"/>
    <w:bookmarkStart w:id="12" w:name="street-expectations"/>
    <w:p>
      <w:pPr>
        <w:pStyle w:val="Heading2"/>
      </w:pPr>
      <w:r>
        <w:t xml:space="preserve">Street expectations</w:t>
      </w:r>
    </w:p>
    <w:p>
      <w:pPr>
        <w:pStyle w:val="FirstParagraph"/>
      </w:pPr>
      <w:r>
        <w:t xml:space="preserve">Public estimate aggregators currently point to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860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870M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$772.7M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w:r>
              <w:rPr>
                <w:b/>
                <w:bCs/>
              </w:rPr>
              <w:t xml:space="preserve">11%–13%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4.86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w:r>
              <w:rPr>
                <w:b/>
                <w:bCs/>
              </w:rPr>
              <w:t xml:space="preserve">17%–19%</w:t>
            </w:r>
          </w:p>
        </w:tc>
      </w:tr>
    </w:tbl>
    <w:p>
      <w:pPr>
        <w:pStyle w:val="BodyText"/>
      </w:pPr>
      <w:r>
        <w:t xml:space="preserve">The estimate range reflects differences among data providers rather than formal company guidance.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MSCI closed July 20 at approximately</w:t>
      </w:r>
      <w:r>
        <w:t xml:space="preserve"> </w:t>
      </w:r>
      <w:r>
        <w:rPr>
          <w:b/>
          <w:bCs/>
        </w:rPr>
        <w:t xml:space="preserve">$625</w:t>
      </w:r>
      <w:r>
        <w:t xml:space="preserve">, carrying a trailing P/E of about</w:t>
      </w:r>
      <w:r>
        <w:t xml:space="preserve"> </w:t>
      </w:r>
      <w:r>
        <w:rPr>
          <w:b/>
          <w:bCs/>
        </w:rPr>
        <w:t xml:space="preserve">36x</w:t>
      </w:r>
      <w:r>
        <w:t xml:space="preserve">. That valuation leaves room for appreciation if subscription momentum strengthens, but it also means a merely in-line quarter with cautious commentary may not be enough.</w:t>
      </w:r>
    </w:p>
    <w:bookmarkEnd w:id="12"/>
    <w:bookmarkStart w:id="16" w:name="X937042306070e0f814b52dc95933b2ec07ad08a"/>
    <w:p>
      <w:pPr>
        <w:pStyle w:val="Heading2"/>
      </w:pPr>
      <w:r>
        <w:t xml:space="preserve">The biggest positive: exceptionally strong ETF AUM</w:t>
      </w:r>
    </w:p>
    <w:p>
      <w:pPr>
        <w:pStyle w:val="FirstParagraph"/>
      </w:pPr>
      <w:r>
        <w:t xml:space="preserve">MSCI’s disclosed monthly data show equity ETF AUM linked to its indexes averaging: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$2.576 trillion in April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$2.746 trillion in May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$2.795 trillion in June</w:t>
      </w:r>
    </w:p>
    <w:p>
      <w:pPr>
        <w:pStyle w:val="FirstParagraph"/>
      </w:pPr>
      <w:r>
        <w:t xml:space="preserve">That produces an estimated Q2 average of approximately</w:t>
      </w:r>
      <w:r>
        <w:t xml:space="preserve"> </w:t>
      </w:r>
      <w:r>
        <w:rPr>
          <w:b/>
          <w:bCs/>
        </w:rPr>
        <w:t xml:space="preserve">$2.706 trillion</w:t>
      </w:r>
      <w:r>
        <w:t xml:space="preserve">, up about</w:t>
      </w:r>
      <w:r>
        <w:t xml:space="preserve"> </w:t>
      </w:r>
      <w:r>
        <w:rPr>
          <w:b/>
          <w:bCs/>
        </w:rPr>
        <w:t xml:space="preserve">45% year over year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9.5% sequentially</w:t>
      </w:r>
      <w:r>
        <w:t xml:space="preserve">. Quarter-end AUM was $2.818 trillion, approximately 39% above June 2025. (</w:t>
      </w:r>
      <w:hyperlink r:id="rId13">
        <w:r>
          <w:rPr>
            <w:rStyle w:val="Hyperlink"/>
          </w:rPr>
          <w:t xml:space="preserve">ir.msci.com</w:t>
        </w:r>
      </w:hyperlink>
      <w:r>
        <w:t xml:space="preserve">)</w:t>
      </w:r>
    </w:p>
    <w:p>
      <w:pPr>
        <w:pStyle w:val="BodyText"/>
      </w:pPr>
      <w:r>
        <w:t xml:space="preserve">This should produce another strong quarter for Index asset-based fees. In Q1, asset-based-fee revenue increased 26.6%, while the corresponding annualized run rate increased 25.1% to $872 million. MSCI also reported a record $103 billion of ETF inflows during that quarter. (</w:t>
      </w:r>
      <w:hyperlink r:id="rId14">
        <w:r>
          <w:rPr>
            <w:rStyle w:val="Hyperlink"/>
          </w:rPr>
          <w:t xml:space="preserve">ir.msci.com</w:t>
        </w:r>
      </w:hyperlink>
      <w:r>
        <w:t xml:space="preserve">)</w:t>
      </w:r>
    </w:p>
    <w:bookmarkStart w:id="15" w:name="X36fa801c68c01486062b0e244fb6d81f557ddda"/>
    <w:p>
      <w:pPr>
        <w:pStyle w:val="Heading3"/>
      </w:pPr>
      <w:r>
        <w:t xml:space="preserve">Why the revenue increase may trail the AUM increase</w:t>
      </w:r>
    </w:p>
    <w:p>
      <w:pPr>
        <w:pStyle w:val="FirstParagraph"/>
      </w:pPr>
      <w:r>
        <w:t xml:space="preserve">Investors should not simply apply the 45% increase in average ETF AUM to asset-based-fee revenue. The effective fee on ETF assets has been declining as product and geographic mix changes: MSCI’s period-end ETF fee fell from 2.43 basis points in Q2 2025 to 2.35 basis points in Q1 2026.</w:t>
      </w:r>
    </w:p>
    <w:p>
      <w:pPr>
        <w:pStyle w:val="BodyText"/>
      </w:pPr>
      <w:r>
        <w:t xml:space="preserve">Other variables include:</w:t>
      </w:r>
    </w:p>
    <w:p>
      <w:pPr>
        <w:pStyle w:val="Compact"/>
        <w:numPr>
          <w:ilvl w:val="0"/>
          <w:numId w:val="1003"/>
        </w:numPr>
      </w:pPr>
      <w:r>
        <w:t xml:space="preserve">The mix between developed ex-U.S., emerging-markets and U.S.-focused products.</w:t>
      </w:r>
    </w:p>
    <w:p>
      <w:pPr>
        <w:pStyle w:val="Compact"/>
        <w:numPr>
          <w:ilvl w:val="0"/>
          <w:numId w:val="1003"/>
        </w:numPr>
      </w:pPr>
      <w:r>
        <w:t xml:space="preserve">Different fee arrangements by client and product.</w:t>
      </w:r>
    </w:p>
    <w:p>
      <w:pPr>
        <w:pStyle w:val="Compact"/>
        <w:numPr>
          <w:ilvl w:val="0"/>
          <w:numId w:val="1003"/>
        </w:numPr>
      </w:pPr>
      <w:r>
        <w:t xml:space="preserve">Non-ETF indexed assets, which are reported with a lag.</w:t>
      </w:r>
    </w:p>
    <w:p>
      <w:pPr>
        <w:pStyle w:val="Compact"/>
        <w:numPr>
          <w:ilvl w:val="0"/>
          <w:numId w:val="1003"/>
        </w:numPr>
      </w:pPr>
      <w:r>
        <w:t xml:space="preserve">Listed futures and options volumes.</w:t>
      </w:r>
    </w:p>
    <w:p>
      <w:pPr>
        <w:pStyle w:val="FirstParagraph"/>
      </w:pPr>
      <w:r>
        <w:t xml:space="preserve">Still, the disclosed AUM data suggest that</w:t>
      </w:r>
      <w:r>
        <w:t xml:space="preserve"> </w:t>
      </w:r>
      <w:r>
        <w:rPr>
          <w:b/>
          <w:bCs/>
        </w:rPr>
        <w:t xml:space="preserve">asset-based fees are the clearest potential source of upside to consensus revenue</w:t>
      </w:r>
      <w:r>
        <w:t xml:space="preserve">.</w:t>
      </w:r>
    </w:p>
    <w:bookmarkEnd w:id="15"/>
    <w:bookmarkEnd w:id="16"/>
    <w:bookmarkStart w:id="18" w:name="X566d7072e7ffe990aacb9a781093c5c79e33caf"/>
    <w:p>
      <w:pPr>
        <w:pStyle w:val="Heading2"/>
      </w:pPr>
      <w:r>
        <w:t xml:space="preserve">Subscription growth is the more important signal</w:t>
      </w:r>
    </w:p>
    <w:p>
      <w:pPr>
        <w:pStyle w:val="FirstParagraph"/>
      </w:pPr>
      <w:r>
        <w:t xml:space="preserve">Q1 established a demanding comparison:</w:t>
      </w:r>
    </w:p>
    <w:p>
      <w:pPr>
        <w:pStyle w:val="Compact"/>
        <w:numPr>
          <w:ilvl w:val="0"/>
          <w:numId w:val="1004"/>
        </w:numPr>
      </w:pPr>
      <w:r>
        <w:t xml:space="preserve">Organic recurring subscription run-rate growth:</w:t>
      </w:r>
      <w:r>
        <w:t xml:space="preserve"> </w:t>
      </w:r>
      <w:r>
        <w:rPr>
          <w:b/>
          <w:bCs/>
        </w:rPr>
        <w:t xml:space="preserve">8.2%</w:t>
      </w:r>
    </w:p>
    <w:p>
      <w:pPr>
        <w:pStyle w:val="Compact"/>
        <w:numPr>
          <w:ilvl w:val="0"/>
          <w:numId w:val="1004"/>
        </w:numPr>
      </w:pPr>
      <w:r>
        <w:t xml:space="preserve">Index organic subscription run-rate growth:</w:t>
      </w:r>
      <w:r>
        <w:t xml:space="preserve"> </w:t>
      </w:r>
      <w:r>
        <w:rPr>
          <w:b/>
          <w:bCs/>
        </w:rPr>
        <w:t xml:space="preserve">10.4%</w:t>
      </w:r>
    </w:p>
    <w:p>
      <w:pPr>
        <w:pStyle w:val="Compact"/>
        <w:numPr>
          <w:ilvl w:val="0"/>
          <w:numId w:val="1004"/>
        </w:numPr>
      </w:pPr>
      <w:r>
        <w:t xml:space="preserve">Analytics organic run-rate growth:</w:t>
      </w:r>
      <w:r>
        <w:t xml:space="preserve"> </w:t>
      </w:r>
      <w:r>
        <w:rPr>
          <w:b/>
          <w:bCs/>
        </w:rPr>
        <w:t xml:space="preserve">7.4%</w:t>
      </w:r>
    </w:p>
    <w:p>
      <w:pPr>
        <w:pStyle w:val="Compact"/>
        <w:numPr>
          <w:ilvl w:val="0"/>
          <w:numId w:val="1004"/>
        </w:numPr>
      </w:pPr>
      <w:r>
        <w:t xml:space="preserve">Sustainability and Climate organic run-rate growth:</w:t>
      </w:r>
      <w:r>
        <w:t xml:space="preserve"> </w:t>
      </w:r>
      <w:r>
        <w:rPr>
          <w:b/>
          <w:bCs/>
        </w:rPr>
        <w:t xml:space="preserve">4.2%</w:t>
      </w:r>
    </w:p>
    <w:p>
      <w:pPr>
        <w:pStyle w:val="Compact"/>
        <w:numPr>
          <w:ilvl w:val="0"/>
          <w:numId w:val="1004"/>
        </w:numPr>
      </w:pPr>
      <w:r>
        <w:t xml:space="preserve">Private Assets organic run-rate growth:</w:t>
      </w:r>
      <w:r>
        <w:t xml:space="preserve"> </w:t>
      </w:r>
      <w:r>
        <w:rPr>
          <w:b/>
          <w:bCs/>
        </w:rPr>
        <w:t xml:space="preserve">7.8%</w:t>
      </w:r>
    </w:p>
    <w:p>
      <w:pPr>
        <w:pStyle w:val="Compact"/>
        <w:numPr>
          <w:ilvl w:val="0"/>
          <w:numId w:val="1004"/>
        </w:numPr>
      </w:pPr>
      <w:r>
        <w:t xml:space="preserve">Net new recurring subscription sales:</w:t>
      </w:r>
      <w:r>
        <w:t xml:space="preserve"> </w:t>
      </w:r>
      <w:r>
        <w:rPr>
          <w:b/>
          <w:bCs/>
        </w:rPr>
        <w:t xml:space="preserve">$39.6 million</w:t>
      </w:r>
      <w:r>
        <w:t xml:space="preserve">, up 52%</w:t>
      </w:r>
    </w:p>
    <w:p>
      <w:pPr>
        <w:pStyle w:val="Compact"/>
        <w:numPr>
          <w:ilvl w:val="0"/>
          <w:numId w:val="1004"/>
        </w:numPr>
      </w:pPr>
      <w:r>
        <w:t xml:space="preserve">Retention:</w:t>
      </w:r>
      <w:r>
        <w:t xml:space="preserve"> </w:t>
      </w:r>
      <w:r>
        <w:rPr>
          <w:b/>
          <w:bCs/>
        </w:rPr>
        <w:t xml:space="preserve">95.4%</w:t>
      </w:r>
    </w:p>
    <w:p>
      <w:pPr>
        <w:pStyle w:val="FirstParagraph"/>
      </w:pPr>
      <w:r>
        <w:t xml:space="preserve">Index delivered record Q1 sales, supported by market-cap modules, custom indexes, hedge funds and broker-dealers. Analytics benefited from enterprise-risk, equity-factor and multi-asset solutions. (</w:t>
      </w:r>
      <w:hyperlink r:id="rId14">
        <w:r>
          <w:rPr>
            <w:rStyle w:val="Hyperlink"/>
          </w:rPr>
          <w:t xml:space="preserve">ir.msci.com</w:t>
        </w:r>
      </w:hyperlink>
      <w:r>
        <w:t xml:space="preserve">)</w:t>
      </w:r>
    </w:p>
    <w:p>
      <w:pPr>
        <w:pStyle w:val="BodyText"/>
      </w:pPr>
      <w:r>
        <w:t xml:space="preserve">The central issue is whether this represented a durable improvement in execution or a quarter helped by several large transactions.</w:t>
      </w:r>
    </w:p>
    <w:bookmarkStart w:id="17" w:name="what-would-constitute-a-strong-result"/>
    <w:p>
      <w:pPr>
        <w:pStyle w:val="Heading3"/>
      </w:pPr>
      <w:r>
        <w:t xml:space="preserve">What would constitute a strong result?</w:t>
      </w:r>
    </w:p>
    <w:p>
      <w:pPr>
        <w:pStyle w:val="FirstParagraph"/>
      </w:pPr>
      <w:r>
        <w:t xml:space="preserve">A constructive Q2 would likely include:</w:t>
      </w:r>
    </w:p>
    <w:p>
      <w:pPr>
        <w:pStyle w:val="Compact"/>
        <w:numPr>
          <w:ilvl w:val="0"/>
          <w:numId w:val="1005"/>
        </w:numPr>
      </w:pPr>
      <w:r>
        <w:t xml:space="preserve">Total organic subscription run-rate growth holding around or above</w:t>
      </w:r>
      <w:r>
        <w:t xml:space="preserve"> </w:t>
      </w:r>
      <w:r>
        <w:rPr>
          <w:b/>
          <w:bCs/>
        </w:rPr>
        <w:t xml:space="preserve">8%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Index subscription growth remaining near</w:t>
      </w:r>
      <w:r>
        <w:t xml:space="preserve"> </w:t>
      </w:r>
      <w:r>
        <w:rPr>
          <w:b/>
          <w:bCs/>
        </w:rPr>
        <w:t xml:space="preserve">10%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Analytics run-rate growth staying in the high-single digits.</w:t>
      </w:r>
    </w:p>
    <w:p>
      <w:pPr>
        <w:pStyle w:val="Compact"/>
        <w:numPr>
          <w:ilvl w:val="0"/>
          <w:numId w:val="1005"/>
        </w:numPr>
      </w:pPr>
      <w:r>
        <w:t xml:space="preserve">Retention at least around</w:t>
      </w:r>
      <w:r>
        <w:t xml:space="preserve"> </w:t>
      </w:r>
      <w:r>
        <w:rPr>
          <w:b/>
          <w:bCs/>
        </w:rPr>
        <w:t xml:space="preserve">95%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Continued strong net new sales without excessive dependence on one or two large deals.</w:t>
      </w:r>
    </w:p>
    <w:p>
      <w:pPr>
        <w:pStyle w:val="FirstParagraph"/>
      </w:pPr>
      <w:r>
        <w:t xml:space="preserve">A decline in net new sales would not necessarily invalidate the improvement—sales are lumpy—but a material slowdown combined with weaker retention would suggest that Q1 overstated the underlying acceleration.</w:t>
      </w:r>
    </w:p>
    <w:bookmarkEnd w:id="17"/>
    <w:bookmarkEnd w:id="18"/>
    <w:bookmarkStart w:id="19" w:name="expect-a-deliberate-analytics-slowdown"/>
    <w:p>
      <w:pPr>
        <w:pStyle w:val="Heading2"/>
      </w:pPr>
      <w:r>
        <w:t xml:space="preserve">Expect a deliberate Analytics slowdown</w:t>
      </w:r>
    </w:p>
    <w:p>
      <w:pPr>
        <w:pStyle w:val="FirstParagraph"/>
      </w:pPr>
      <w:r>
        <w:t xml:space="preserve">Management explicitly said Q2 Analytics revenue growth would be approximately</w:t>
      </w:r>
      <w:r>
        <w:t xml:space="preserve"> </w:t>
      </w:r>
      <w:r>
        <w:rPr>
          <w:b/>
          <w:bCs/>
        </w:rPr>
        <w:t xml:space="preserve">5%</w:t>
      </w:r>
      <w:r>
        <w:t xml:space="preserve">, compared with 10.3% in Q1. Q1 benefited from the completion of a large implementation that boosted non-recurring revenue.</w:t>
      </w:r>
    </w:p>
    <w:p>
      <w:pPr>
        <w:pStyle w:val="BodyText"/>
      </w:pPr>
      <w:r>
        <w:t xml:space="preserve">Investors should therefore distinguish between: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Reported Analytics revenue</w:t>
      </w:r>
      <w:r>
        <w:t xml:space="preserve">, which should slow because of the comparison; and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Analytics run rate and sales</w:t>
      </w:r>
      <w:r>
        <w:t xml:space="preserve">, which better indicate the segment’s underlying trajectory.</w:t>
      </w:r>
    </w:p>
    <w:p>
      <w:pPr>
        <w:pStyle w:val="FirstParagraph"/>
      </w:pPr>
      <w:r>
        <w:t xml:space="preserve">If revenue lands around management’s 5% expectation while subscription run-rate growth remains near 7%–8%, that should be viewed as broadly healthy. A simultaneous slowdown in revenue, sales and run rate would be more concerning.</w:t>
      </w:r>
    </w:p>
    <w:bookmarkEnd w:id="19"/>
    <w:bookmarkStart w:id="21" w:name="private-assets-the-strategic-proof-point"/>
    <w:p>
      <w:pPr>
        <w:pStyle w:val="Heading2"/>
      </w:pPr>
      <w:r>
        <w:t xml:space="preserve">Private assets: the strategic proof point</w:t>
      </w:r>
    </w:p>
    <w:p>
      <w:pPr>
        <w:pStyle w:val="FirstParagraph"/>
      </w:pPr>
      <w:r>
        <w:t xml:space="preserve">Private Capital Solutions entered Q2 with subscription run-rate growth of almost</w:t>
      </w:r>
      <w:r>
        <w:t xml:space="preserve"> </w:t>
      </w:r>
      <w:r>
        <w:rPr>
          <w:b/>
          <w:bCs/>
        </w:rPr>
        <w:t xml:space="preserve">16%</w:t>
      </w:r>
      <w:r>
        <w:t xml:space="preserve">, driven by transparency data, Private Capital Intel and Total Plan Manager. The broader Private Assets segment grew revenue 7.9% in Q1, although its adjusted EBITDA margin declined to 18.9% as MSCI continued investing.</w:t>
      </w:r>
    </w:p>
    <w:p>
      <w:pPr>
        <w:pStyle w:val="BodyText"/>
      </w:pPr>
      <w:r>
        <w:t xml:space="preserve">The June private-assets update emphasized several longer-term opportunities:</w:t>
      </w:r>
    </w:p>
    <w:p>
      <w:pPr>
        <w:pStyle w:val="Compact"/>
        <w:numPr>
          <w:ilvl w:val="0"/>
          <w:numId w:val="1007"/>
        </w:numPr>
      </w:pPr>
      <w:r>
        <w:t xml:space="preserve">Total-portfolio analytics across public and private assets.</w:t>
      </w:r>
    </w:p>
    <w:p>
      <w:pPr>
        <w:pStyle w:val="Compact"/>
        <w:numPr>
          <w:ilvl w:val="0"/>
          <w:numId w:val="1007"/>
        </w:numPr>
      </w:pPr>
      <w:r>
        <w:t xml:space="preserve">Private-credit transparency and risk models.</w:t>
      </w:r>
    </w:p>
    <w:p>
      <w:pPr>
        <w:pStyle w:val="Compact"/>
        <w:numPr>
          <w:ilvl w:val="0"/>
          <w:numId w:val="1007"/>
        </w:numPr>
      </w:pPr>
      <w:r>
        <w:t xml:space="preserve">More frequent private-asset valuation estimates.</w:t>
      </w:r>
    </w:p>
    <w:p>
      <w:pPr>
        <w:pStyle w:val="Compact"/>
        <w:numPr>
          <w:ilvl w:val="0"/>
          <w:numId w:val="1007"/>
        </w:numPr>
      </w:pPr>
      <w:r>
        <w:t xml:space="preserve">Private-market benchmarks and classification systems.</w:t>
      </w:r>
    </w:p>
    <w:p>
      <w:pPr>
        <w:pStyle w:val="Compact"/>
        <w:numPr>
          <w:ilvl w:val="0"/>
          <w:numId w:val="1007"/>
        </w:numPr>
      </w:pPr>
      <w:r>
        <w:t xml:space="preserve">AI-assisted document ingestion and due diligence.</w:t>
      </w:r>
    </w:p>
    <w:p>
      <w:pPr>
        <w:pStyle w:val="Compact"/>
        <w:numPr>
          <w:ilvl w:val="0"/>
          <w:numId w:val="1007"/>
        </w:numPr>
      </w:pPr>
      <w:r>
        <w:t xml:space="preserve">Expansion from institutional asset owners into wealth management and general partners.</w:t>
      </w:r>
    </w:p>
    <w:p>
      <w:pPr>
        <w:pStyle w:val="FirstParagraph"/>
      </w:pPr>
      <w:r>
        <w:t xml:space="preserve">The July partnership with UBS is strategically notable. UBS will help develop and serve as an early adopter of MSCI’s private-markets platform, which combines fund discovery, portfolio management, analytics and benchmarking. That provides product validation and a potentially meaningful distribution channel, although investors should not expect a material Q2 revenue contribution. (</w:t>
      </w:r>
      <w:hyperlink r:id="rId20">
        <w:r>
          <w:rPr>
            <w:rStyle w:val="Hyperlink"/>
          </w:rPr>
          <w:t xml:space="preserve">ir.msci.com</w:t>
        </w:r>
      </w:hyperlink>
      <w:r>
        <w:t xml:space="preserve">)</w:t>
      </w:r>
    </w:p>
    <w:p>
      <w:pPr>
        <w:pStyle w:val="BodyText"/>
      </w:pPr>
      <w:r>
        <w:t xml:space="preserve">The report should clarify whether Private Capital Solutions maintained mid-teens growth and whether Real Assets’ transaction-related headwinds are easing.</w:t>
      </w:r>
    </w:p>
    <w:bookmarkEnd w:id="21"/>
    <w:bookmarkStart w:id="23" w:name="Xdf253304804ab5e87200611507a589d59e2eac8"/>
    <w:p>
      <w:pPr>
        <w:pStyle w:val="Heading2"/>
      </w:pPr>
      <w:r>
        <w:t xml:space="preserve">Sustainability and Climate remains the weak link</w:t>
      </w:r>
    </w:p>
    <w:p>
      <w:pPr>
        <w:pStyle w:val="FirstParagraph"/>
      </w:pPr>
      <w:r>
        <w:t xml:space="preserve">Q1’s reported Sustainability and Climate revenue increased 8.6%, but organic growth was only 3.7%. More importantly:</w:t>
      </w:r>
    </w:p>
    <w:p>
      <w:pPr>
        <w:pStyle w:val="Compact"/>
        <w:numPr>
          <w:ilvl w:val="0"/>
          <w:numId w:val="1008"/>
        </w:numPr>
      </w:pPr>
      <w:r>
        <w:t xml:space="preserve">Net new recurring sales were just</w:t>
      </w:r>
      <w:r>
        <w:t xml:space="preserve"> </w:t>
      </w:r>
      <w:r>
        <w:rPr>
          <w:b/>
          <w:bCs/>
        </w:rPr>
        <w:t xml:space="preserve">$0.9 million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Subscription cancellations increased 40%.</w:t>
      </w:r>
    </w:p>
    <w:p>
      <w:pPr>
        <w:pStyle w:val="Compact"/>
        <w:numPr>
          <w:ilvl w:val="0"/>
          <w:numId w:val="1008"/>
        </w:numPr>
      </w:pPr>
      <w:r>
        <w:t xml:space="preserve">Retention fell to</w:t>
      </w:r>
      <w:r>
        <w:t xml:space="preserve"> </w:t>
      </w:r>
      <w:r>
        <w:rPr>
          <w:b/>
          <w:bCs/>
        </w:rPr>
        <w:t xml:space="preserve">93.0%</w:t>
      </w:r>
      <w:r>
        <w:t xml:space="preserve">.</w:t>
      </w:r>
    </w:p>
    <w:p>
      <w:pPr>
        <w:pStyle w:val="FirstParagraph"/>
      </w:pPr>
      <w:r>
        <w:t xml:space="preserve">Management has described continued spending rationalization, especially for traditional sustainability products, while expressing greater confidence in physical climate-risk demand.</w:t>
      </w:r>
    </w:p>
    <w:p>
      <w:pPr>
        <w:pStyle w:val="BodyText"/>
      </w:pPr>
      <w:r>
        <w:t xml:space="preserve">MSCI’s pending $120 million acquisition of First Street directly addresses that opportunity. First Street adds property-level physical-risk data covering more than 2 billion structures, with the transaction expected to close in Q3 and be reported within Sustainability and Climate. (</w:t>
      </w:r>
      <w:hyperlink r:id="rId22">
        <w:r>
          <w:rPr>
            <w:rStyle w:val="Hyperlink"/>
          </w:rPr>
          <w:t xml:space="preserve">ir.msci.com</w:t>
        </w:r>
      </w:hyperlink>
      <w:r>
        <w:t xml:space="preserve">)</w:t>
      </w:r>
    </w:p>
    <w:p>
      <w:pPr>
        <w:pStyle w:val="BodyText"/>
      </w:pPr>
      <w:r>
        <w:t xml:space="preserve">For Q2, investors should look for stabilization in organic growth and retention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acquisition benefits arrive. Another weak sales quarter would reinforce the concern that MSCI is using M&amp;A to offset limited organic momentum in the segment.</w:t>
      </w:r>
    </w:p>
    <w:bookmarkEnd w:id="23"/>
    <w:bookmarkStart w:id="24" w:name="margins-expenses-and-guidance"/>
    <w:p>
      <w:pPr>
        <w:pStyle w:val="Heading2"/>
      </w:pPr>
      <w:r>
        <w:t xml:space="preserve">Margins, expenses and guidance</w:t>
      </w:r>
    </w:p>
    <w:p>
      <w:pPr>
        <w:pStyle w:val="FirstParagraph"/>
      </w:pPr>
      <w:r>
        <w:t xml:space="preserve">MSCI’s Q1 adjusted EBITDA margin expanded 220 basis points to 59.3%, despite an 8.1% increase in adjusted EBITDA expenses. Full-year guidance currently calls for:</w:t>
      </w:r>
    </w:p>
    <w:p>
      <w:pPr>
        <w:pStyle w:val="Compact"/>
        <w:numPr>
          <w:ilvl w:val="0"/>
          <w:numId w:val="1009"/>
        </w:numPr>
      </w:pPr>
      <w:r>
        <w:t xml:space="preserve">Operating expenses of</w:t>
      </w:r>
      <w:r>
        <w:t xml:space="preserve"> </w:t>
      </w:r>
      <m:oMath>
        <m:r>
          <m:t>1.49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1.53B</w:t>
      </w:r>
    </w:p>
    <w:p>
      <w:pPr>
        <w:pStyle w:val="Compact"/>
        <w:numPr>
          <w:ilvl w:val="0"/>
          <w:numId w:val="1009"/>
        </w:numPr>
      </w:pPr>
      <w:r>
        <w:t xml:space="preserve">Adjusted EBITDA expenses of</w:t>
      </w:r>
      <w:r>
        <w:t xml:space="preserve"> </w:t>
      </w:r>
      <m:oMath>
        <m:r>
          <m:t>1.305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1.335B</w:t>
      </w:r>
    </w:p>
    <w:p>
      <w:pPr>
        <w:pStyle w:val="Compact"/>
        <w:numPr>
          <w:ilvl w:val="0"/>
          <w:numId w:val="1009"/>
        </w:numPr>
      </w:pPr>
      <w:r>
        <w:t xml:space="preserve">Free cash flow of</w:t>
      </w:r>
      <w:r>
        <w:t xml:space="preserve"> </w:t>
      </w:r>
      <m:oMath>
        <m:r>
          <m:t>1.47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1.53B</w:t>
      </w:r>
    </w:p>
    <w:p>
      <w:pPr>
        <w:pStyle w:val="Compact"/>
        <w:numPr>
          <w:ilvl w:val="0"/>
          <w:numId w:val="1009"/>
        </w:numPr>
      </w:pPr>
      <w:r>
        <w:t xml:space="preserve">Effective tax rate of</w:t>
      </w:r>
      <w:r>
        <w:t xml:space="preserve"> </w:t>
      </w:r>
      <w:r>
        <w:rPr>
          <w:b/>
          <w:bCs/>
        </w:rPr>
        <w:t xml:space="preserve">18%–20%</w:t>
      </w:r>
    </w:p>
    <w:p>
      <w:pPr>
        <w:pStyle w:val="FirstParagraph"/>
      </w:pPr>
      <w:r>
        <w:t xml:space="preserve">Management previously indicated that strong asset-based fees could push expenses toward the upper half of the guidance range as it reinvests. (</w:t>
      </w:r>
      <w:hyperlink r:id="rId14">
        <w:r>
          <w:rPr>
            <w:rStyle w:val="Hyperlink"/>
          </w:rPr>
          <w:t xml:space="preserve">ir.msci.com</w:t>
        </w:r>
      </w:hyperlink>
      <w:r>
        <w:t xml:space="preserve">)</w:t>
      </w:r>
    </w:p>
    <w:p>
      <w:pPr>
        <w:pStyle w:val="BodyText"/>
      </w:pPr>
      <w:r>
        <w:t xml:space="preserve">The ideal result would combine:</w:t>
      </w:r>
    </w:p>
    <w:p>
      <w:pPr>
        <w:pStyle w:val="Compact"/>
        <w:numPr>
          <w:ilvl w:val="0"/>
          <w:numId w:val="1010"/>
        </w:numPr>
      </w:pPr>
      <w:r>
        <w:t xml:space="preserve">Strong asset-based-fee revenue.</w:t>
      </w:r>
    </w:p>
    <w:p>
      <w:pPr>
        <w:pStyle w:val="Compact"/>
        <w:numPr>
          <w:ilvl w:val="0"/>
          <w:numId w:val="1010"/>
        </w:numPr>
      </w:pPr>
      <w:r>
        <w:t xml:space="preserve">Meaningful year-over-year margin expansion.</w:t>
      </w:r>
    </w:p>
    <w:p>
      <w:pPr>
        <w:pStyle w:val="Compact"/>
        <w:numPr>
          <w:ilvl w:val="0"/>
          <w:numId w:val="1010"/>
        </w:numPr>
      </w:pPr>
      <w:r>
        <w:t xml:space="preserve">No disproportionate increase in the expense outlook.</w:t>
      </w:r>
    </w:p>
    <w:p>
      <w:pPr>
        <w:pStyle w:val="Compact"/>
        <w:numPr>
          <w:ilvl w:val="0"/>
          <w:numId w:val="1010"/>
        </w:numPr>
      </w:pPr>
      <w:r>
        <w:t xml:space="preserve">Reaffirmed or increased free-cash-flow guidance.</w:t>
      </w:r>
    </w:p>
    <w:p>
      <w:pPr>
        <w:pStyle w:val="FirstParagraph"/>
      </w:pPr>
      <w:r>
        <w:t xml:space="preserve">The First Street acquisition is not expected to close until Q3, so it should not affect Q2 operating results. It may, however, lead management to revise second-half expense, amortization or cash-flow assumptions.</w:t>
      </w:r>
    </w:p>
    <w:bookmarkEnd w:id="24"/>
    <w:bookmarkStart w:id="25" w:name="capital-allocation"/>
    <w:p>
      <w:pPr>
        <w:pStyle w:val="Heading2"/>
      </w:pPr>
      <w:r>
        <w:t xml:space="preserve">Capital allocation</w:t>
      </w:r>
    </w:p>
    <w:p>
      <w:pPr>
        <w:pStyle w:val="FirstParagraph"/>
      </w:pPr>
      <w:r>
        <w:t xml:space="preserve">MSCI repurchased approximately $464 million of stock from the start of 2026 through April 20 at an average price of roughly $556. It ended Q1 with:</w:t>
      </w:r>
    </w:p>
    <w:p>
      <w:pPr>
        <w:pStyle w:val="Compact"/>
        <w:numPr>
          <w:ilvl w:val="0"/>
          <w:numId w:val="1011"/>
        </w:numPr>
      </w:pPr>
      <w:r>
        <w:t xml:space="preserve">$385 million of cash.</w:t>
      </w:r>
    </w:p>
    <w:p>
      <w:pPr>
        <w:pStyle w:val="Compact"/>
        <w:numPr>
          <w:ilvl w:val="0"/>
          <w:numId w:val="1011"/>
        </w:numPr>
      </w:pPr>
      <w:r>
        <w:t xml:space="preserve">$6.5 billion of debt.</w:t>
      </w:r>
    </w:p>
    <w:p>
      <w:pPr>
        <w:pStyle w:val="Compact"/>
        <w:numPr>
          <w:ilvl w:val="0"/>
          <w:numId w:val="1011"/>
        </w:numPr>
      </w:pPr>
      <w:r>
        <w:t xml:space="preserve">Debt equal to 3.2x trailing adjusted EBITDA, within its 3.0x–3.5x target.</w:t>
      </w:r>
    </w:p>
    <w:p>
      <w:pPr>
        <w:pStyle w:val="Compact"/>
        <w:numPr>
          <w:ilvl w:val="0"/>
          <w:numId w:val="1011"/>
        </w:numPr>
      </w:pPr>
      <w:r>
        <w:t xml:space="preserve">Approximately $1.7 billion remaining under its repurchase authorization.</w:t>
      </w:r>
    </w:p>
    <w:p>
      <w:pPr>
        <w:pStyle w:val="FirstParagraph"/>
      </w:pPr>
      <w:r>
        <w:t xml:space="preserve">Updates on buybacks will matter because the company has also been deploying capital toward Vantager, Compass Financial Technologies, PM Insights and First Street.</w:t>
      </w:r>
    </w:p>
    <w:p>
      <w:pPr>
        <w:pStyle w:val="BodyText"/>
      </w:pPr>
      <w:r>
        <w:t xml:space="preserve">A continued high repurchase pace would signal confidence in both cash generation and valuation. A significant slowdown may indicate that management is prioritizing acquisitions or leverage management.</w:t>
      </w:r>
    </w:p>
    <w:bookmarkEnd w:id="25"/>
    <w:bookmarkStart w:id="26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of Q2’s asset-based-fee growth came from inflows versus market appreciation?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Did Index subscription growth remain in double digits?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Were Q1’s strong sales broad-based, or did several large transactions pull demand forward?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Is Analytics still tracking toward run-rate-driven revenue growth after the Q2 implementation comparison?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Did Sustainability and Climate retention stabilize?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quickly can the UBS partnership and recent private-assets acquisitions generate material revenue?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Is AI driving measurable pricing, additional content licensing or cost savings?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Will First Street or stronger market levels push expenses toward or above the current guidance range?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stock did MSCI repurchase during Q2, and at what average price?</w:t>
      </w:r>
    </w:p>
    <w:bookmarkEnd w:id="26"/>
    <w:bookmarkStart w:id="27" w:name="potential-reaction-framework"/>
    <w:p>
      <w:pPr>
        <w:pStyle w:val="Heading2"/>
      </w:pPr>
      <w:r>
        <w:t xml:space="preserve">Potential reaction framework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Outcome</w:t>
            </w:r>
          </w:p>
        </w:tc>
        <w:tc>
          <w:tcPr/>
          <w:p>
            <w:pPr>
              <w:pStyle w:val="Compact"/>
            </w:pPr>
            <w:r>
              <w:t xml:space="preserve">What it would look like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Bullish</w:t>
            </w:r>
          </w:p>
        </w:tc>
        <w:tc>
          <w:tcPr/>
          <w:p>
            <w:pPr>
              <w:pStyle w:val="Compact"/>
            </w:pPr>
            <w:r>
              <w:t xml:space="preserve">Revenue above the consensus range; asset-based fees well ahead; subscription run-rate growth of at least 8%–9%; Index holds near double digits; retention improves; margins expand and guidance is maintained or raised.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Neutral</w:t>
            </w:r>
          </w:p>
        </w:tc>
        <w:tc>
          <w:tcPr/>
          <w:p>
            <w:pPr>
              <w:pStyle w:val="Compact"/>
            </w:pPr>
            <w:r>
              <w:t xml:space="preserve">Headline beat driven mostly by ETF AUM; Analytics slows as expected; subscription metrics remain around Q1 levels; guidance is unchanged.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Bearish</w:t>
            </w:r>
          </w:p>
        </w:tc>
        <w:tc>
          <w:tcPr/>
          <w:p>
            <w:pPr>
              <w:pStyle w:val="Compact"/>
            </w:pPr>
            <w:r>
              <w:t xml:space="preserve">Asset-based fees underperform the disclosed AUM trend; Index sales decelerate sharply; retention falls; Sustainability cancellations remain elevated; expense guidance rises without a corresponding free-cash-flow increase.</w:t>
            </w:r>
          </w:p>
        </w:tc>
      </w:tr>
    </w:tbl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disclosed ETF data make a weak headline quarter unlikely:</w:t>
      </w:r>
      <w:r>
        <w:t xml:space="preserve"> </w:t>
      </w:r>
      <w:r>
        <w:rPr>
          <w:b/>
          <w:bCs/>
        </w:rPr>
        <w:t xml:space="preserve">MSCI enters the report with a powerful asset-based-fee tailwind</w:t>
      </w:r>
      <w:r>
        <w:t xml:space="preserve">. However, the stock’s valuation and strong performance since Q1 mean investors will probably look past a simple revenue or EPS beat.</w:t>
      </w:r>
    </w:p>
    <w:p>
      <w:pPr>
        <w:pStyle w:val="BodyText"/>
      </w:pPr>
      <w:r>
        <w:t xml:space="preserve">The most important test is whether MSCI can demonstrate that Q1’s subscription acceleration was sustainable. A high-quality result would combine strong Index asset-based fees with continued double-digit Index subscription growth, high-single-digit Analytics momentum, stable retention and early commercial evidence from private assets and AI.</w:t>
      </w:r>
    </w:p>
    <w:p>
      <w:pPr>
        <w:pStyle w:val="BodyText"/>
      </w:pPr>
      <w:r>
        <w:t xml:space="preserve">If the beat is almost entirely market-driven while subscription sales soften and expenses rise, the reaction could be muted despite strong reported growth.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https://ir.msci.com/news-releases/news-release-details/msci-acquires-first-street-enhance-physical-climate-risk?utm_source=openai" TargetMode="External" /><Relationship Type="http://schemas.openxmlformats.org/officeDocument/2006/relationships/hyperlink" Id="rId20" Target="https://ir.msci.com/news-releases/news-release-details/msci-and-ubs-announce-strategic-partnership-bring-greater" TargetMode="External" /><Relationship Type="http://schemas.openxmlformats.org/officeDocument/2006/relationships/hyperlink" Id="rId9" Target="https://ir.msci.com/news-releases/news-release-details/msci-announces-2026-quarterly-earnings-reporting-dates?utm_source=openai" TargetMode="External" /><Relationship Type="http://schemas.openxmlformats.org/officeDocument/2006/relationships/hyperlink" Id="rId14" Target="https://ir.msci.com/news-releases/news-release-details/msci-reports-financial-results-first-quarter-2026?utm_source=openai" TargetMode="External" /><Relationship Type="http://schemas.openxmlformats.org/officeDocument/2006/relationships/hyperlink" Id="rId13" Target="https://ir.msci.com/node/16386" TargetMode="External" /><Relationship Type="http://schemas.openxmlformats.org/officeDocument/2006/relationships/hyperlink" Id="rId11" Target="https://www.marketbeat.com/earnings/reports/2026-7-21-msci-inc-stock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ir.msci.com/news-releases/news-release-details/msci-acquires-first-street-enhance-physical-climate-risk?utm_source=openai" TargetMode="External" /><Relationship Type="http://schemas.openxmlformats.org/officeDocument/2006/relationships/hyperlink" Id="rId20" Target="https://ir.msci.com/news-releases/news-release-details/msci-and-ubs-announce-strategic-partnership-bring-greater" TargetMode="External" /><Relationship Type="http://schemas.openxmlformats.org/officeDocument/2006/relationships/hyperlink" Id="rId9" Target="https://ir.msci.com/news-releases/news-release-details/msci-announces-2026-quarterly-earnings-reporting-dates?utm_source=openai" TargetMode="External" /><Relationship Type="http://schemas.openxmlformats.org/officeDocument/2006/relationships/hyperlink" Id="rId14" Target="https://ir.msci.com/news-releases/news-release-details/msci-reports-financial-results-first-quarter-2026?utm_source=openai" TargetMode="External" /><Relationship Type="http://schemas.openxmlformats.org/officeDocument/2006/relationships/hyperlink" Id="rId13" Target="https://ir.msci.com/node/16386" TargetMode="External" /><Relationship Type="http://schemas.openxmlformats.org/officeDocument/2006/relationships/hyperlink" Id="rId11" Target="https://www.marketbeat.com/earnings/reports/2026-7-21-msci-inc-stock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2026-07-21T00:49:53Z</dcterms:created>
  <dcterms:modified xsi:type="dcterms:W3CDTF">2026-07-21T00:49:53Z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