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msci-nyse-msci--2q26-earnings-preview"/>
    <w:p>
      <w:pPr>
        <w:pStyle w:val="Heading1"/>
      </w:pPr>
      <w:r>
        <w:t xml:space="preserve">MSCI (NYSE: MSCI) — 2Q26 Earnings Preview</w:t>
      </w:r>
    </w:p>
    <w:p>
      <w:pPr>
        <w:pStyle w:val="BlockText"/>
      </w:pPr>
      <w:r>
        <w:rPr>
          <w:b/>
          <w:bCs/>
        </w:rPr>
        <w:t xml:space="preserve">Timing note:</w:t>
      </w:r>
      <w:r>
        <w:t xml:space="preserve"> </w:t>
      </w:r>
      <w:r>
        <w:t xml:space="preserve">The earnings call is</w:t>
      </w:r>
      <w:r>
        <w:t xml:space="preserve"> </w:t>
      </w:r>
      <w:r>
        <w:rPr>
          <w:b/>
          <w:bCs/>
        </w:rPr>
        <w:t xml:space="preserve">today, Tuesday, July 21, 2026</w:t>
      </w:r>
      <w:r>
        <w:t xml:space="preserve">, rather than tomorrow. This preview is based on information available through the July 20 close.</w:t>
      </w:r>
    </w:p>
    <w:bookmarkStart w:id="9" w:name="bottom-line"/>
    <w:p>
      <w:pPr>
        <w:pStyle w:val="Heading2"/>
      </w:pPr>
      <w:r>
        <w:t xml:space="preserve">Bottom line</w:t>
      </w:r>
    </w:p>
    <w:p>
      <w:pPr>
        <w:pStyle w:val="FirstParagraph"/>
      </w:pPr>
      <w:r>
        <w:t xml:space="preserve">MSCI enters 2Q26 with</w:t>
      </w:r>
      <w:r>
        <w:t xml:space="preserve"> </w:t>
      </w:r>
      <w:r>
        <w:rPr>
          <w:b/>
          <w:bCs/>
        </w:rPr>
        <w:t xml:space="preserve">materially improved operating momentum</w:t>
      </w:r>
      <w:r>
        <w:t xml:space="preserve"> </w:t>
      </w:r>
      <w:r>
        <w:t xml:space="preserve">following a strong first quarter, led by Index, asset-based fees (ABF), hedge-fund/trading demand, and better execution in Analytics and Private Capital Solutions (PCS). The central question is no longer whether MSCI can grow: it is whether the company can</w:t>
      </w:r>
      <w:r>
        <w:t xml:space="preserve"> </w:t>
      </w:r>
      <w:r>
        <w:rPr>
          <w:b/>
          <w:bCs/>
        </w:rPr>
        <w:t xml:space="preserve">sustain Q1’s reacceleration</w:t>
      </w:r>
      <w:r>
        <w:t xml:space="preserve"> </w:t>
      </w:r>
      <w:r>
        <w:t xml:space="preserve">while preserving its premium-margin, high-retention model.</w:t>
      </w:r>
    </w:p>
    <w:p>
      <w:pPr>
        <w:pStyle w:val="BodyText"/>
      </w:pPr>
      <w:r>
        <w:t xml:space="preserve">The report should be judged less on the headline EPS number—which can be influenced by tax, buybacks, and timing—and more on:</w:t>
      </w:r>
    </w:p>
    <w:p>
      <w:pPr>
        <w:pStyle w:val="Compact"/>
        <w:numPr>
          <w:ilvl w:val="0"/>
          <w:numId w:val="1001"/>
        </w:numPr>
      </w:pPr>
      <w:r>
        <w:rPr>
          <w:b/>
          <w:bCs/>
        </w:rPr>
        <w:t xml:space="preserve">Index recurring-sales and ABF-run-rate progression</w:t>
      </w:r>
    </w:p>
    <w:p>
      <w:pPr>
        <w:pStyle w:val="Compact"/>
        <w:numPr>
          <w:ilvl w:val="0"/>
          <w:numId w:val="1001"/>
        </w:numPr>
      </w:pPr>
      <w:r>
        <w:rPr>
          <w:b/>
          <w:bCs/>
        </w:rPr>
        <w:t xml:space="preserve">Subscription run-rate growth, net new sales, and retention</w:t>
      </w:r>
    </w:p>
    <w:p>
      <w:pPr>
        <w:pStyle w:val="Compact"/>
        <w:numPr>
          <w:ilvl w:val="0"/>
          <w:numId w:val="1001"/>
        </w:numPr>
      </w:pPr>
      <w:r>
        <w:rPr>
          <w:b/>
          <w:bCs/>
        </w:rPr>
        <w:t xml:space="preserve">Whether Analytics delivers the mid-single-digit revenue growth management guided to</w:t>
      </w:r>
    </w:p>
    <w:p>
      <w:pPr>
        <w:pStyle w:val="Compact"/>
        <w:numPr>
          <w:ilvl w:val="0"/>
          <w:numId w:val="1001"/>
        </w:numPr>
      </w:pPr>
      <w:r>
        <w:rPr>
          <w:b/>
          <w:bCs/>
        </w:rPr>
        <w:t xml:space="preserve">Evidence that PCS is becoming a more meaningful growth leg</w:t>
      </w:r>
    </w:p>
    <w:p>
      <w:pPr>
        <w:pStyle w:val="Compact"/>
        <w:numPr>
          <w:ilvl w:val="0"/>
          <w:numId w:val="1001"/>
        </w:numPr>
      </w:pPr>
      <w:r>
        <w:rPr>
          <w:b/>
          <w:bCs/>
        </w:rPr>
        <w:t xml:space="preserve">The outlook for Sustainability &amp; Climate, where cancellations remain elevated</w:t>
      </w:r>
    </w:p>
    <w:p>
      <w:pPr>
        <w:pStyle w:val="Compact"/>
        <w:numPr>
          <w:ilvl w:val="0"/>
          <w:numId w:val="1001"/>
        </w:numPr>
      </w:pPr>
      <w:r>
        <w:rPr>
          <w:b/>
          <w:bCs/>
        </w:rPr>
        <w:t xml:space="preserve">Whether 2026 expense/FCF guidance is reiterated or lifted</w:t>
      </w:r>
    </w:p>
    <w:p>
      <w:pPr>
        <w:pStyle w:val="FirstParagraph"/>
      </w:pPr>
      <w:r>
        <w:t xml:space="preserve">MSCI shares closed at</w:t>
      </w:r>
      <w:r>
        <w:t xml:space="preserve"> </w:t>
      </w:r>
      <w:r>
        <w:rPr>
          <w:b/>
          <w:bCs/>
        </w:rPr>
        <w:t xml:space="preserve">$625.15 on July 20</w:t>
      </w:r>
      <w:r>
        <w:t xml:space="preserve">, up roughly</w:t>
      </w:r>
      <w:r>
        <w:t xml:space="preserve"> </w:t>
      </w:r>
      <w:r>
        <w:rPr>
          <w:b/>
          <w:bCs/>
        </w:rPr>
        <w:t xml:space="preserve">9% from December 31, 2025</w:t>
      </w:r>
      <w:r>
        <w:t xml:space="preserve"> </w:t>
      </w:r>
      <w:r>
        <w:t xml:space="preserve">and about</w:t>
      </w:r>
      <w:r>
        <w:t xml:space="preserve"> </w:t>
      </w:r>
      <w:r>
        <w:rPr>
          <w:b/>
          <w:bCs/>
        </w:rPr>
        <w:t xml:space="preserve">10% since the day before 1Q earnings</w:t>
      </w:r>
      <w:r>
        <w:t xml:space="preserve">. That leaves the setup constructive, but likely raises the bar for confirmation that the strong Q1 sales performance was repeatable rather than deal-driven.</w:t>
      </w:r>
    </w:p>
    <w:p>
      <w:r>
        <w:pict>
          <v:rect style="width:0;height:1.5pt" o:hralign="center" o:hrstd="t" o:hr="t"/>
        </w:pict>
      </w:r>
    </w:p>
    <w:bookmarkEnd w:id="9"/>
    <w:bookmarkStart w:id="10" w:name="what-changed-in-1q26"/>
    <w:p>
      <w:pPr>
        <w:pStyle w:val="Heading2"/>
      </w:pPr>
      <w:r>
        <w:t xml:space="preserve">What changed in 1Q26</w:t>
      </w:r>
    </w:p>
    <w:p>
      <w:pPr>
        <w:pStyle w:val="FirstParagraph"/>
      </w:pPr>
      <w:r>
        <w:t xml:space="preserve">MSCI reported an unusually strong first quarter: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$850.8M</w:t>
            </w:r>
          </w:p>
        </w:tc>
        <w:tc>
          <w:tcPr/>
          <w:p>
            <w:pPr>
              <w:pStyle w:val="Compact"/>
              <w:jc w:val="right"/>
            </w:pPr>
            <w:r>
              <w:rPr>
                <w:b/>
                <w:bCs/>
              </w:rPr>
              <w:t xml:space="preserve">+14.1%</w:t>
            </w:r>
          </w:p>
        </w:tc>
      </w:tr>
      <w:tr>
        <w:tc>
          <w:tcPr/>
          <w:p>
            <w:pPr>
              <w:pStyle w:val="Compact"/>
            </w:pPr>
            <w:r>
              <w:t xml:space="preserve">Organic revenue growth</w:t>
            </w:r>
          </w:p>
        </w:tc>
        <w:tc>
          <w:tcPr/>
          <w:p>
            <w:pPr>
              <w:pStyle w:val="Compact"/>
              <w:jc w:val="right"/>
            </w:pPr>
            <w:r>
              <w:rPr>
                <w:b/>
                <w:bCs/>
              </w:rPr>
              <w:t xml:space="preserve">13.3%</w:t>
            </w:r>
          </w:p>
        </w:tc>
        <w:tc>
          <w:tcPr/>
          <w:p>
            <w:pPr>
              <w:pStyle w:val="Compact"/>
              <w:jc w:val="right"/>
            </w:pPr>
            <w:r>
              <w:t xml:space="preserve">—</w:t>
            </w:r>
          </w:p>
        </w:tc>
      </w:tr>
      <w:tr>
        <w:tc>
          <w:tcPr/>
          <w:p>
            <w:pPr>
              <w:pStyle w:val="Compact"/>
            </w:pPr>
            <w:r>
              <w:t xml:space="preserve">Adjusted EBITDA</w:t>
            </w:r>
          </w:p>
        </w:tc>
        <w:tc>
          <w:tcPr/>
          <w:p>
            <w:pPr>
              <w:pStyle w:val="Compact"/>
              <w:jc w:val="right"/>
            </w:pPr>
            <w:r>
              <w:rPr>
                <w:b/>
                <w:bCs/>
              </w:rPr>
              <w:t xml:space="preserve">$504.7M</w:t>
            </w:r>
          </w:p>
        </w:tc>
        <w:tc>
          <w:tcPr/>
          <w:p>
            <w:pPr>
              <w:pStyle w:val="Compact"/>
              <w:jc w:val="right"/>
            </w:pPr>
            <w:r>
              <w:rPr>
                <w:b/>
                <w:bCs/>
              </w:rPr>
              <w:t xml:space="preserve">+18.6%</w:t>
            </w:r>
          </w:p>
        </w:tc>
      </w:tr>
      <w:tr>
        <w:tc>
          <w:tcPr/>
          <w:p>
            <w:pPr>
              <w:pStyle w:val="Compact"/>
            </w:pPr>
            <w:r>
              <w:t xml:space="preserve">Adjusted EBITDA margin</w:t>
            </w:r>
          </w:p>
        </w:tc>
        <w:tc>
          <w:tcPr/>
          <w:p>
            <w:pPr>
              <w:pStyle w:val="Compact"/>
              <w:jc w:val="right"/>
            </w:pPr>
            <w:r>
              <w:rPr>
                <w:b/>
                <w:bCs/>
              </w:rPr>
              <w:t xml:space="preserve">59.3%</w:t>
            </w:r>
          </w:p>
        </w:tc>
        <w:tc>
          <w:tcPr/>
          <w:p>
            <w:pPr>
              <w:pStyle w:val="Compact"/>
              <w:jc w:val="right"/>
            </w:pPr>
            <w:r>
              <w:t xml:space="preserve">+220 bps</w:t>
            </w:r>
          </w:p>
        </w:tc>
      </w:tr>
      <w:tr>
        <w:tc>
          <w:tcPr/>
          <w:p>
            <w:pPr>
              <w:pStyle w:val="Compact"/>
            </w:pPr>
            <w:r>
              <w:t xml:space="preserve">Adjusted EPS</w:t>
            </w:r>
          </w:p>
        </w:tc>
        <w:tc>
          <w:tcPr/>
          <w:p>
            <w:pPr>
              <w:pStyle w:val="Compact"/>
              <w:jc w:val="right"/>
            </w:pPr>
            <w:r>
              <w:rPr>
                <w:b/>
                <w:bCs/>
              </w:rPr>
              <w:t xml:space="preserve">$4.55</w:t>
            </w:r>
          </w:p>
        </w:tc>
        <w:tc>
          <w:tcPr/>
          <w:p>
            <w:pPr>
              <w:pStyle w:val="Compact"/>
              <w:jc w:val="right"/>
            </w:pPr>
            <w:r>
              <w:rPr>
                <w:b/>
                <w:bCs/>
              </w:rPr>
              <w:t xml:space="preserve">+13.8%</w:t>
            </w:r>
          </w:p>
        </w:tc>
      </w:tr>
      <w:tr>
        <w:tc>
          <w:tcPr/>
          <w:p>
            <w:pPr>
              <w:pStyle w:val="Compact"/>
            </w:pPr>
            <w:r>
              <w:t xml:space="preserve">Total run rate</w:t>
            </w:r>
          </w:p>
        </w:tc>
        <w:tc>
          <w:tcPr/>
          <w:p>
            <w:pPr>
              <w:pStyle w:val="Compact"/>
              <w:jc w:val="right"/>
            </w:pPr>
            <w:r>
              <w:rPr>
                <w:b/>
                <w:bCs/>
              </w:rPr>
              <w:t xml:space="preserve">$3.36B</w:t>
            </w:r>
          </w:p>
        </w:tc>
        <w:tc>
          <w:tcPr/>
          <w:p>
            <w:pPr>
              <w:pStyle w:val="Compact"/>
              <w:jc w:val="right"/>
            </w:pPr>
            <w:r>
              <w:rPr>
                <w:b/>
                <w:bCs/>
              </w:rPr>
              <w:t xml:space="preserve">+12.7%</w:t>
            </w:r>
          </w:p>
        </w:tc>
      </w:tr>
      <w:tr>
        <w:tc>
          <w:tcPr/>
          <w:p>
            <w:pPr>
              <w:pStyle w:val="Compact"/>
            </w:pPr>
            <w:r>
              <w:t xml:space="preserve">Organic recurring-subscription run-rate growth</w:t>
            </w:r>
          </w:p>
        </w:tc>
        <w:tc>
          <w:tcPr/>
          <w:p>
            <w:pPr>
              <w:pStyle w:val="Compact"/>
              <w:jc w:val="right"/>
            </w:pPr>
            <w:r>
              <w:rPr>
                <w:b/>
                <w:bCs/>
              </w:rPr>
              <w:t xml:space="preserve">8.2%</w:t>
            </w:r>
          </w:p>
        </w:tc>
        <w:tc>
          <w:tcPr/>
          <w:p>
            <w:pPr>
              <w:pStyle w:val="Compact"/>
              <w:jc w:val="right"/>
            </w:pPr>
            <w:r>
              <w:t xml:space="preserve">—</w:t>
            </w:r>
          </w:p>
        </w:tc>
      </w:tr>
      <w:tr>
        <w:tc>
          <w:tcPr/>
          <w:p>
            <w:pPr>
              <w:pStyle w:val="Compact"/>
            </w:pPr>
            <w:r>
              <w:t xml:space="preserve">Net new recurring subscription sales</w:t>
            </w:r>
          </w:p>
        </w:tc>
        <w:tc>
          <w:tcPr/>
          <w:p>
            <w:pPr>
              <w:pStyle w:val="Compact"/>
              <w:jc w:val="right"/>
            </w:pPr>
            <w:r>
              <w:rPr>
                <w:b/>
                <w:bCs/>
              </w:rPr>
              <w:t xml:space="preserve">$39.6M</w:t>
            </w:r>
          </w:p>
        </w:tc>
        <w:tc>
          <w:tcPr/>
          <w:p>
            <w:pPr>
              <w:pStyle w:val="Compact"/>
              <w:jc w:val="right"/>
            </w:pPr>
            <w:r>
              <w:rPr>
                <w:b/>
                <w:bCs/>
              </w:rPr>
              <w:t xml:space="preserve">+51.7%</w:t>
            </w:r>
          </w:p>
        </w:tc>
      </w:tr>
      <w:tr>
        <w:tc>
          <w:tcPr/>
          <w:p>
            <w:pPr>
              <w:pStyle w:val="Compact"/>
            </w:pPr>
            <w:r>
              <w:t xml:space="preserve">Retention rate</w:t>
            </w:r>
          </w:p>
        </w:tc>
        <w:tc>
          <w:tcPr/>
          <w:p>
            <w:pPr>
              <w:pStyle w:val="Compact"/>
              <w:jc w:val="right"/>
            </w:pPr>
            <w:r>
              <w:rPr>
                <w:b/>
                <w:bCs/>
              </w:rPr>
              <w:t xml:space="preserve">95.4%</w:t>
            </w:r>
          </w:p>
        </w:tc>
        <w:tc>
          <w:tcPr/>
          <w:p>
            <w:pPr>
              <w:pStyle w:val="Compact"/>
              <w:jc w:val="right"/>
            </w:pPr>
            <w:r>
              <w:t xml:space="preserve">+10 bps</w:t>
            </w:r>
          </w:p>
        </w:tc>
      </w:tr>
    </w:tbl>
    <w:p>
      <w:pPr>
        <w:pStyle w:val="BodyText"/>
      </w:pPr>
      <w:r>
        <w:t xml:space="preserve">The standout was</w:t>
      </w:r>
      <w:r>
        <w:t xml:space="preserve"> </w:t>
      </w:r>
      <w:r>
        <w:rPr>
          <w:b/>
          <w:bCs/>
        </w:rPr>
        <w:t xml:space="preserve">Index</w:t>
      </w:r>
      <w:r>
        <w:t xml:space="preserve">. Segment revenue rose 17.7%, with ABF revenue up 26.6% and recurring-subscription run rate up 10.4% organically. MSCI also reported record quarterly ETF inflows into products linked to its equity indices:</w:t>
      </w:r>
      <w:r>
        <w:t xml:space="preserve"> </w:t>
      </w:r>
      <m:oMath>
        <m:r>
          <m:t>103</m:t>
        </m:r>
        <m:r>
          <m:t>B</m:t>
        </m:r>
        <m:r>
          <m:rPr>
            <m:sty m:val="p"/>
          </m:rPr>
          <m:t>*</m:t>
        </m:r>
        <m:r>
          <m:rPr>
            <m:sty m:val="p"/>
          </m:rPr>
          <m:t>*</m:t>
        </m:r>
        <m:r>
          <m:t>i</m:t>
        </m:r>
        <m:r>
          <m:t>n</m:t>
        </m:r>
        <m:r>
          <m:t>1</m:t>
        </m:r>
        <m:r>
          <m:t>Q</m:t>
        </m:r>
        <m:r>
          <m:rPr>
            <m:sty m:val="p"/>
          </m:rPr>
          <m:t>,</m:t>
        </m:r>
        <m:r>
          <m:t>t</m:t>
        </m:r>
        <m:r>
          <m:t>a</m:t>
        </m:r>
        <m:r>
          <m:t>k</m:t>
        </m:r>
        <m:r>
          <m:t>i</m:t>
        </m:r>
        <m:r>
          <m:t>n</m:t>
        </m:r>
        <m:r>
          <m:t>g</m:t>
        </m:r>
        <m:r>
          <m:t>E</m:t>
        </m:r>
        <m:r>
          <m:t>T</m:t>
        </m:r>
        <m:r>
          <m:t>F</m:t>
        </m:r>
        <m:r>
          <m:t>A</m:t>
        </m:r>
        <m:r>
          <m:t>U</m:t>
        </m:r>
        <m:r>
          <m:t>M</m:t>
        </m:r>
        <m:r>
          <m:t>l</m:t>
        </m:r>
        <m:r>
          <m:t>i</m:t>
        </m:r>
        <m:r>
          <m:t>n</m:t>
        </m:r>
        <m:r>
          <m:t>k</m:t>
        </m:r>
        <m:r>
          <m:t>e</m:t>
        </m:r>
        <m:r>
          <m:t>d</m:t>
        </m:r>
        <m:r>
          <m:t>t</m:t>
        </m:r>
        <m:r>
          <m:t>o</m:t>
        </m:r>
        <m:r>
          <m:t>M</m:t>
        </m:r>
        <m:r>
          <m:t>S</m:t>
        </m:r>
        <m:r>
          <m:t>C</m:t>
        </m:r>
        <m:r>
          <m:t>I</m:t>
        </m:r>
        <m:r>
          <m:t>e</m:t>
        </m:r>
        <m:r>
          <m:t>q</m:t>
        </m:r>
        <m:r>
          <m:t>u</m:t>
        </m:r>
        <m:r>
          <m:t>i</m:t>
        </m:r>
        <m:r>
          <m:t>t</m:t>
        </m:r>
        <m:r>
          <m:t>y</m:t>
        </m:r>
        <m:r>
          <m:t>i</m:t>
        </m:r>
        <m:r>
          <m:t>n</m:t>
        </m:r>
        <m:r>
          <m:t>d</m:t>
        </m:r>
        <m:r>
          <m:t>e</m:t>
        </m:r>
        <m:r>
          <m:t>x</m:t>
        </m:r>
        <m:r>
          <m:t>e</m:t>
        </m:r>
        <m:r>
          <m:t>s</m:t>
        </m:r>
        <m:r>
          <m:t>t</m:t>
        </m:r>
        <m:r>
          <m:t>o</m:t>
        </m:r>
        <m:r>
          <m:rPr>
            <m:sty m:val="p"/>
          </m:rPr>
          <m:t>*</m:t>
        </m:r>
        <m:r>
          <m:rPr>
            <m:sty m:val="p"/>
          </m:rPr>
          <m:t>*</m:t>
        </m:r>
      </m:oMath>
      <w:r>
        <w:rPr>
          <w:b/>
          <w:bCs/>
        </w:rPr>
        <w:t xml:space="preserve">2.40T</w:t>
      </w:r>
      <w:r>
        <w:t xml:space="preserve"> </w:t>
      </w:r>
      <w:r>
        <w:t xml:space="preserve">at quarter-end.</w:t>
      </w:r>
    </w:p>
    <w:p>
      <w:pPr>
        <w:pStyle w:val="BodyText"/>
      </w:pPr>
      <w:r>
        <w:t xml:space="preserve">This is the critical driver for the quarter ahead: ABF revenue reflects average AUM, so continued market strength and flows should support 2Q revenue even before considering new subscription wins.</w:t>
      </w:r>
    </w:p>
    <w:p>
      <w:r>
        <w:pict>
          <v:rect style="width:0;height:1.5pt" o:hralign="center" o:hrstd="t" o:hr="t"/>
        </w:pict>
      </w:r>
    </w:p>
    <w:bookmarkEnd w:id="10"/>
    <w:bookmarkStart w:id="13" w:name="Xd718aaebbe8baa256017059b2b17291af6c2685"/>
    <w:p>
      <w:pPr>
        <w:pStyle w:val="Heading2"/>
      </w:pPr>
      <w:r>
        <w:t xml:space="preserve">The investment debate going into the print</w:t>
      </w:r>
    </w:p>
    <w:bookmarkStart w:id="11" w:name="X0e9131d7ab61b340b3121005268e9c31ba97828"/>
    <w:p>
      <w:pPr>
        <w:pStyle w:val="Heading3"/>
      </w:pPr>
      <w:r>
        <w:t xml:space="preserve">Bull case: MSCI is reaccelerating across its largest and highest-quality engines</w:t>
      </w:r>
    </w:p>
    <w:p>
      <w:pPr>
        <w:pStyle w:val="FirstParagraph"/>
      </w:pPr>
      <w:r>
        <w:t xml:space="preserve">The bullish view is that MSCI has moved beyond the slower growth phase investors saw in 2024–25:</w:t>
      </w:r>
    </w:p>
    <w:p>
      <w:pPr>
        <w:pStyle w:val="Compact"/>
        <w:numPr>
          <w:ilvl w:val="0"/>
          <w:numId w:val="1002"/>
        </w:numPr>
      </w:pPr>
      <w:r>
        <w:rPr>
          <w:b/>
          <w:bCs/>
        </w:rPr>
        <w:t xml:space="preserve">Index</w:t>
      </w:r>
      <w:r>
        <w:t xml:space="preserve"> </w:t>
      </w:r>
      <w:r>
        <w:t xml:space="preserve">has returned to double-digit organic recurring run-rate growth, supported by market-cap products, custom indices, derivatives, active ETFs, and greater penetration of hedge funds and broker-dealers.</w:t>
      </w:r>
    </w:p>
    <w:p>
      <w:pPr>
        <w:pStyle w:val="Compact"/>
        <w:numPr>
          <w:ilvl w:val="0"/>
          <w:numId w:val="1002"/>
        </w:numPr>
      </w:pPr>
      <w:r>
        <w:rPr>
          <w:b/>
          <w:bCs/>
        </w:rPr>
        <w:t xml:space="preserve">ABF has become an increasingly powerful earnings lever.</w:t>
      </w:r>
      <w:r>
        <w:t xml:space="preserve"> </w:t>
      </w:r>
      <w:r>
        <w:t xml:space="preserve">In 1Q, Index ABF run rate grew 25.1% to $872M.</w:t>
      </w:r>
    </w:p>
    <w:p>
      <w:pPr>
        <w:pStyle w:val="Compact"/>
        <w:numPr>
          <w:ilvl w:val="0"/>
          <w:numId w:val="1002"/>
        </w:numPr>
      </w:pPr>
      <w:r>
        <w:rPr>
          <w:b/>
          <w:bCs/>
        </w:rPr>
        <w:t xml:space="preserve">Analytics is improving</w:t>
      </w:r>
      <w:r>
        <w:t xml:space="preserve">, with 7.4% organic recurring run-rate growth in 1Q, supported by equity analytics, enterprise-risk wins, multi-asset tools, and strong demand from hedge funds and banks.</w:t>
      </w:r>
    </w:p>
    <w:p>
      <w:pPr>
        <w:pStyle w:val="Compact"/>
        <w:numPr>
          <w:ilvl w:val="0"/>
          <w:numId w:val="1002"/>
        </w:numPr>
      </w:pPr>
      <w:r>
        <w:rPr>
          <w:b/>
          <w:bCs/>
        </w:rPr>
        <w:t xml:space="preserve">PCS is gaining strategic relevance.</w:t>
      </w:r>
      <w:r>
        <w:t xml:space="preserve"> </w:t>
      </w:r>
      <w:r>
        <w:t xml:space="preserve">Its 1Q subscription run-rate growth accelerated to nearly 16%, with demand for private-market transparency data, benchmarking, due diligence, portfolio-management and total-portfolio tools.</w:t>
      </w:r>
    </w:p>
    <w:p>
      <w:pPr>
        <w:pStyle w:val="Compact"/>
        <w:numPr>
          <w:ilvl w:val="0"/>
          <w:numId w:val="1002"/>
        </w:numPr>
      </w:pPr>
      <w:r>
        <w:rPr>
          <w:b/>
          <w:bCs/>
        </w:rPr>
        <w:t xml:space="preserve">AI may improve both growth and margins.</w:t>
      </w:r>
      <w:r>
        <w:t xml:space="preserve"> </w:t>
      </w:r>
      <w:r>
        <w:t xml:space="preserve">Management argues that AI is accelerating data collection, model development, product launches, software development and client access to MSCI content. The company is also positioning AI-enabled content delivery as a future upsell opportunity rather than simply a cost-saving exercise.</w:t>
      </w:r>
    </w:p>
    <w:p>
      <w:pPr>
        <w:pStyle w:val="FirstParagraph"/>
      </w:pPr>
      <w:r>
        <w:t xml:space="preserve">If recurring sales remain strong in 2Q, the market may begin to underwrite a more durable step-up in organic growth rather than treating Q1 as an outlier.</w:t>
      </w:r>
    </w:p>
    <w:bookmarkEnd w:id="11"/>
    <w:bookmarkStart w:id="12" w:name="X8abe659ce9ee8abcd5e3c881880afb5e726a9ea"/>
    <w:p>
      <w:pPr>
        <w:pStyle w:val="Heading3"/>
      </w:pPr>
      <w:r>
        <w:t xml:space="preserve">Bear case: Q1 set a difficult bar, and some growth drivers are market-sensitive</w:t>
      </w:r>
    </w:p>
    <w:p>
      <w:pPr>
        <w:pStyle w:val="FirstParagraph"/>
      </w:pPr>
      <w:r>
        <w:t xml:space="preserve">The cautious view is that 1Q benefited from a favorable mix of ABF growth, large Index/Analytics deals, and certain nonrecurring implementation revenues:</w:t>
      </w:r>
    </w:p>
    <w:p>
      <w:pPr>
        <w:pStyle w:val="Compact"/>
        <w:numPr>
          <w:ilvl w:val="0"/>
          <w:numId w:val="1003"/>
        </w:numPr>
      </w:pPr>
      <w:r>
        <w:rPr>
          <w:b/>
          <w:bCs/>
        </w:rPr>
        <w:t xml:space="preserve">ABF is economically attractive but market-dependent.</w:t>
      </w:r>
      <w:r>
        <w:t xml:space="preserve"> </w:t>
      </w:r>
      <w:r>
        <w:t xml:space="preserve">A weaker equity market, lower ETF AUM, or softer international-equity flows would eventually pressure Index revenue growth.</w:t>
      </w:r>
    </w:p>
    <w:p>
      <w:pPr>
        <w:pStyle w:val="Compact"/>
        <w:numPr>
          <w:ilvl w:val="0"/>
          <w:numId w:val="1003"/>
        </w:numPr>
      </w:pPr>
      <w:r>
        <w:rPr>
          <w:b/>
          <w:bCs/>
        </w:rPr>
        <w:t xml:space="preserve">Analytics has a known near-term deceleration.</w:t>
      </w:r>
      <w:r>
        <w:t xml:space="preserve"> </w:t>
      </w:r>
      <w:r>
        <w:t xml:space="preserve">Management specifically said 2Q Analytics revenue growth was expected to be approximately</w:t>
      </w:r>
      <w:r>
        <w:t xml:space="preserve"> </w:t>
      </w:r>
      <w:r>
        <w:rPr>
          <w:b/>
          <w:bCs/>
        </w:rPr>
        <w:t xml:space="preserve">5%</w:t>
      </w:r>
      <w:r>
        <w:t xml:space="preserve">, versus 10.3% in 1Q, because 1Q included a large implementation completion and related nonrecurring revenue.</w:t>
      </w:r>
    </w:p>
    <w:p>
      <w:pPr>
        <w:pStyle w:val="Compact"/>
        <w:numPr>
          <w:ilvl w:val="0"/>
          <w:numId w:val="1003"/>
        </w:numPr>
      </w:pPr>
      <w:r>
        <w:rPr>
          <w:b/>
          <w:bCs/>
        </w:rPr>
        <w:t xml:space="preserve">Sustainability &amp; Climate remains the weak link.</w:t>
      </w:r>
      <w:r>
        <w:t xml:space="preserve"> </w:t>
      </w:r>
      <w:r>
        <w:t xml:space="preserve">Organic revenue growth was just 3.7% in 1Q, and net new recurring sales were only $0.9M as elevated cancellations offset new business. Management expects muted growth and spending pressure to persist in the near term.</w:t>
      </w:r>
    </w:p>
    <w:p>
      <w:pPr>
        <w:pStyle w:val="Compact"/>
        <w:numPr>
          <w:ilvl w:val="0"/>
          <w:numId w:val="1003"/>
        </w:numPr>
      </w:pPr>
      <w:r>
        <w:rPr>
          <w:b/>
          <w:bCs/>
        </w:rPr>
        <w:t xml:space="preserve">Private Assets remains early in its monetization curve.</w:t>
      </w:r>
      <w:r>
        <w:t xml:space="preserve"> </w:t>
      </w:r>
      <w:r>
        <w:t xml:space="preserve">Strategic promise is substantial, but the reported All Other–Private Assets segment was only $72.6M of 1Q revenue and generated an 18.9% EBITDA margin—well below the Index segment’s 75.6%.</w:t>
      </w:r>
    </w:p>
    <w:p>
      <w:pPr>
        <w:pStyle w:val="Compact"/>
        <w:numPr>
          <w:ilvl w:val="0"/>
          <w:numId w:val="1003"/>
        </w:numPr>
      </w:pPr>
      <w:r>
        <w:rPr>
          <w:b/>
          <w:bCs/>
        </w:rPr>
        <w:t xml:space="preserve">Leverage and capital allocation matter.</w:t>
      </w:r>
      <w:r>
        <w:t xml:space="preserve"> </w:t>
      </w:r>
      <w:r>
        <w:t xml:space="preserve">MSCI ended 1Q with $6.5B of debt and leverage of 3.2x adjusted EBITDA, within its 3.0x–3.5x target range. Continued buybacks are supportive to EPS, but investors will watch the balance between repurchases, bolt-on M&amp;A, debt, and dividend growth.</w:t>
      </w:r>
    </w:p>
    <w:p>
      <w:r>
        <w:pict>
          <v:rect style="width:0;height:1.5pt" o:hralign="center" o:hrstd="t" o:hr="t"/>
        </w:pict>
      </w:r>
    </w:p>
    <w:bookmarkEnd w:id="12"/>
    <w:bookmarkEnd w:id="13"/>
    <w:bookmarkStart w:id="19" w:name="the-key-earnings-indicators-to-watch"/>
    <w:p>
      <w:pPr>
        <w:pStyle w:val="Heading2"/>
      </w:pPr>
      <w:r>
        <w:t xml:space="preserve">The key earnings indicators to watch</w:t>
      </w:r>
    </w:p>
    <w:bookmarkStart w:id="14" w:name="X1f7576ec59b6d9777042d0dc086ca417899153b"/>
    <w:p>
      <w:pPr>
        <w:pStyle w:val="Heading3"/>
      </w:pPr>
      <w:r>
        <w:t xml:space="preserve">1. Index: recurring sales, ETF flows, and ABF run rate</w:t>
      </w:r>
    </w:p>
    <w:p>
      <w:pPr>
        <w:pStyle w:val="FirstParagraph"/>
      </w:pPr>
      <w:r>
        <w:t xml:space="preserve">This is the most important segment and the largest contributor to incremental profit.</w:t>
      </w:r>
    </w:p>
    <w:p>
      <w:pPr>
        <w:pStyle w:val="BodyText"/>
      </w:pPr>
      <w:r>
        <w:t xml:space="preserve">In 1Q, Index generated:</w:t>
      </w:r>
    </w:p>
    <w:p>
      <w:pPr>
        <w:pStyle w:val="Compact"/>
        <w:numPr>
          <w:ilvl w:val="0"/>
          <w:numId w:val="1004"/>
        </w:numPr>
      </w:pPr>
      <w:r>
        <w:rPr>
          <w:b/>
          <w:bCs/>
        </w:rPr>
        <w:t xml:space="preserve">$496.3M revenue</w:t>
      </w:r>
      <w:r>
        <w:t xml:space="preserve">, up 17.7%</w:t>
      </w:r>
    </w:p>
    <w:p>
      <w:pPr>
        <w:pStyle w:val="Compact"/>
        <w:numPr>
          <w:ilvl w:val="0"/>
          <w:numId w:val="1004"/>
        </w:numPr>
      </w:pPr>
      <w:r>
        <w:rPr>
          <w:b/>
          <w:bCs/>
        </w:rPr>
        <w:t xml:space="preserve">$375.2M adjusted EBITDA</w:t>
      </w:r>
      <w:r>
        <w:t xml:space="preserve">, up 20.4%</w:t>
      </w:r>
    </w:p>
    <w:p>
      <w:pPr>
        <w:pStyle w:val="Compact"/>
        <w:numPr>
          <w:ilvl w:val="0"/>
          <w:numId w:val="1004"/>
        </w:numPr>
      </w:pPr>
      <w:r>
        <w:rPr>
          <w:b/>
          <w:bCs/>
        </w:rPr>
        <w:t xml:space="preserve">75.6% adjusted EBITDA margin</w:t>
      </w:r>
    </w:p>
    <w:p>
      <w:pPr>
        <w:pStyle w:val="Compact"/>
        <w:numPr>
          <w:ilvl w:val="0"/>
          <w:numId w:val="1004"/>
        </w:numPr>
      </w:pPr>
      <w:r>
        <w:rPr>
          <w:b/>
          <w:bCs/>
        </w:rPr>
        <w:t xml:space="preserve">10.4% organic recurring-subscription run-rate growth</w:t>
      </w:r>
    </w:p>
    <w:p>
      <w:pPr>
        <w:pStyle w:val="Compact"/>
        <w:numPr>
          <w:ilvl w:val="0"/>
          <w:numId w:val="1004"/>
        </w:numPr>
      </w:pPr>
      <w:r>
        <w:rPr>
          <w:b/>
          <w:bCs/>
        </w:rPr>
        <w:t xml:space="preserve">25.1% ABF run-rate growth</w:t>
      </w:r>
    </w:p>
    <w:p>
      <w:pPr>
        <w:pStyle w:val="Compact"/>
        <w:numPr>
          <w:ilvl w:val="0"/>
          <w:numId w:val="1004"/>
        </w:numPr>
      </w:pPr>
      <w:r>
        <w:rPr>
          <w:b/>
          <w:bCs/>
        </w:rPr>
        <w:t xml:space="preserve">$24.8M net new recurring sales</w:t>
      </w:r>
      <w:r>
        <w:t xml:space="preserve">, up 74.6%</w:t>
      </w:r>
    </w:p>
    <w:p>
      <w:pPr>
        <w:pStyle w:val="FirstParagraph"/>
      </w:pPr>
      <w:r>
        <w:t xml:space="preserve">For 2Q, investors should focus on whether:</w:t>
      </w:r>
    </w:p>
    <w:p>
      <w:pPr>
        <w:pStyle w:val="Compact"/>
        <w:numPr>
          <w:ilvl w:val="0"/>
          <w:numId w:val="1005"/>
        </w:numPr>
      </w:pPr>
      <w:r>
        <w:t xml:space="preserve">Index recurring run-rate growth remains at or near double digits;</w:t>
      </w:r>
    </w:p>
    <w:p>
      <w:pPr>
        <w:pStyle w:val="Compact"/>
        <w:numPr>
          <w:ilvl w:val="0"/>
          <w:numId w:val="1005"/>
        </w:numPr>
      </w:pPr>
      <w:r>
        <w:t xml:space="preserve">ABF growth remains robust despite the higher base;</w:t>
      </w:r>
    </w:p>
    <w:p>
      <w:pPr>
        <w:pStyle w:val="Compact"/>
        <w:numPr>
          <w:ilvl w:val="0"/>
          <w:numId w:val="1005"/>
        </w:numPr>
      </w:pPr>
      <w:r>
        <w:t xml:space="preserve">ETF and non-ETF indexed-fund AUM continues to rise;</w:t>
      </w:r>
    </w:p>
    <w:p>
      <w:pPr>
        <w:pStyle w:val="Compact"/>
        <w:numPr>
          <w:ilvl w:val="0"/>
          <w:numId w:val="1005"/>
        </w:numPr>
      </w:pPr>
      <w:r>
        <w:t xml:space="preserve">custom-index, derivatives, active ETF, and trading-ecosystem demand remains broad-based rather than concentrated in a handful of large deals.</w:t>
      </w:r>
    </w:p>
    <w:p>
      <w:pPr>
        <w:pStyle w:val="FirstParagraph"/>
      </w:pPr>
      <w:r>
        <w:rPr>
          <w:b/>
          <w:bCs/>
        </w:rPr>
        <w:t xml:space="preserve">Why it matters:</w:t>
      </w:r>
      <w:r>
        <w:t xml:space="preserve"> </w:t>
      </w:r>
      <w:r>
        <w:t xml:space="preserve">Index combines high growth, unusually high incremental margins, and a powerful flywheel: more index-linked assets can produce ABF, trading volumes, derivatives activity, data demand, and demand for customized strategies.</w:t>
      </w:r>
    </w:p>
    <w:bookmarkEnd w:id="14"/>
    <w:bookmarkStart w:id="15" w:name="Xce6861d5bca0f07ba5a088f8cca188fa87a6e91"/>
    <w:p>
      <w:pPr>
        <w:pStyle w:val="Heading3"/>
      </w:pPr>
      <w:r>
        <w:t xml:space="preserve">2. Sales momentum and retention</w:t>
      </w:r>
    </w:p>
    <w:p>
      <w:pPr>
        <w:pStyle w:val="FirstParagraph"/>
      </w:pPr>
      <w:r>
        <w:t xml:space="preserve">MSCI’s Q1 net new recurring sales of</w:t>
      </w:r>
      <w:r>
        <w:t xml:space="preserve"> </w:t>
      </w:r>
      <w:r>
        <w:rPr>
          <w:b/>
          <w:bCs/>
        </w:rPr>
        <w:t xml:space="preserve">$39.6M</w:t>
      </w:r>
      <w:r>
        <w:t xml:space="preserve"> </w:t>
      </w:r>
      <w:r>
        <w:t xml:space="preserve">were its best first-quarter result since 2022. That performance included: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1Q26 net new recurring sales</w:t>
            </w:r>
          </w:p>
        </w:tc>
        <w:tc>
          <w:tcPr/>
          <w:p>
            <w:pPr>
              <w:pStyle w:val="Compact"/>
              <w:jc w:val="right"/>
            </w:pPr>
            <w:r>
              <w:t xml:space="preserve">YoY change</w:t>
            </w:r>
          </w:p>
        </w:tc>
      </w:tr>
      <w:tr>
        <w:tc>
          <w:tcPr/>
          <w:p>
            <w:pPr>
              <w:pStyle w:val="Compact"/>
            </w:pPr>
            <w:r>
              <w:t xml:space="preserve">Index</w:t>
            </w:r>
          </w:p>
        </w:tc>
        <w:tc>
          <w:tcPr/>
          <w:p>
            <w:pPr>
              <w:pStyle w:val="Compact"/>
              <w:jc w:val="right"/>
            </w:pPr>
            <w:r>
              <w:t xml:space="preserve">$24.8M</w:t>
            </w:r>
          </w:p>
        </w:tc>
        <w:tc>
          <w:tcPr/>
          <w:p>
            <w:pPr>
              <w:pStyle w:val="Compact"/>
              <w:jc w:val="right"/>
            </w:pPr>
            <w:r>
              <w:t xml:space="preserve">+74.6%</w:t>
            </w:r>
          </w:p>
        </w:tc>
      </w:tr>
      <w:tr>
        <w:tc>
          <w:tcPr/>
          <w:p>
            <w:pPr>
              <w:pStyle w:val="Compact"/>
            </w:pPr>
            <w:r>
              <w:t xml:space="preserve">Analytics</w:t>
            </w:r>
          </w:p>
        </w:tc>
        <w:tc>
          <w:tcPr/>
          <w:p>
            <w:pPr>
              <w:pStyle w:val="Compact"/>
              <w:jc w:val="right"/>
            </w:pPr>
            <w:r>
              <w:t xml:space="preserve">$8.2M</w:t>
            </w:r>
          </w:p>
        </w:tc>
        <w:tc>
          <w:tcPr/>
          <w:p>
            <w:pPr>
              <w:pStyle w:val="Compact"/>
              <w:jc w:val="right"/>
            </w:pPr>
            <w:r>
              <w:t xml:space="preserve">+54.7%</w:t>
            </w:r>
          </w:p>
        </w:tc>
      </w:tr>
      <w:tr>
        <w:tc>
          <w:tcPr/>
          <w:p>
            <w:pPr>
              <w:pStyle w:val="Compact"/>
            </w:pPr>
            <w:r>
              <w:t xml:space="preserve">Sustainability &amp; Climate</w:t>
            </w:r>
          </w:p>
        </w:tc>
        <w:tc>
          <w:tcPr/>
          <w:p>
            <w:pPr>
              <w:pStyle w:val="Compact"/>
              <w:jc w:val="right"/>
            </w:pPr>
            <w:r>
              <w:t xml:space="preserve">$0.9M</w:t>
            </w:r>
          </w:p>
        </w:tc>
        <w:tc>
          <w:tcPr/>
          <w:p>
            <w:pPr>
              <w:pStyle w:val="Compact"/>
              <w:jc w:val="right"/>
            </w:pPr>
            <w:r>
              <w:t xml:space="preserve">-64.0%</w:t>
            </w:r>
          </w:p>
        </w:tc>
      </w:tr>
      <w:tr>
        <w:tc>
          <w:tcPr/>
          <w:p>
            <w:pPr>
              <w:pStyle w:val="Compact"/>
            </w:pPr>
            <w:r>
              <w:t xml:space="preserve">Private Assets</w:t>
            </w:r>
          </w:p>
        </w:tc>
        <w:tc>
          <w:tcPr/>
          <w:p>
            <w:pPr>
              <w:pStyle w:val="Compact"/>
              <w:jc w:val="right"/>
            </w:pPr>
            <w:r>
              <w:t xml:space="preserve">$5.7M</w:t>
            </w:r>
          </w:p>
        </w:tc>
        <w:tc>
          <w:tcPr/>
          <w:p>
            <w:pPr>
              <w:pStyle w:val="Compact"/>
              <w:jc w:val="right"/>
            </w:pPr>
            <w:r>
              <w:t xml:space="preserve">+39.0%</w:t>
            </w:r>
          </w:p>
        </w:tc>
      </w:tr>
      <w:tr>
        <w:tc>
          <w:tcPr/>
          <w:p>
            <w:pPr>
              <w:pStyle w:val="Compact"/>
            </w:pPr>
            <w:r>
              <w:rPr>
                <w:b/>
                <w:bCs/>
              </w:rPr>
              <w:t xml:space="preserve">Total</w:t>
            </w:r>
          </w:p>
        </w:tc>
        <w:tc>
          <w:tcPr/>
          <w:p>
            <w:pPr>
              <w:pStyle w:val="Compact"/>
              <w:jc w:val="right"/>
            </w:pPr>
            <w:r>
              <w:rPr>
                <w:b/>
                <w:bCs/>
              </w:rPr>
              <w:t xml:space="preserve">$39.6M</w:t>
            </w:r>
          </w:p>
        </w:tc>
        <w:tc>
          <w:tcPr/>
          <w:p>
            <w:pPr>
              <w:pStyle w:val="Compact"/>
              <w:jc w:val="right"/>
            </w:pPr>
            <w:r>
              <w:rPr>
                <w:b/>
                <w:bCs/>
              </w:rPr>
              <w:t xml:space="preserve">+51.7%</w:t>
            </w:r>
          </w:p>
        </w:tc>
      </w:tr>
    </w:tbl>
    <w:p>
      <w:pPr>
        <w:pStyle w:val="BodyText"/>
      </w:pPr>
      <w:r>
        <w:t xml:space="preserve">The most consequential question on the call:</w:t>
      </w:r>
      <w:r>
        <w:t xml:space="preserve"> </w:t>
      </w:r>
      <w:r>
        <w:rPr>
          <w:b/>
          <w:bCs/>
        </w:rPr>
        <w:t xml:space="preserve">Did Q1’s stronger sales pace continue through the seasonally important second quarter?</w:t>
      </w:r>
    </w:p>
    <w:p>
      <w:pPr>
        <w:pStyle w:val="BodyText"/>
      </w:pPr>
      <w:r>
        <w:t xml:space="preserve">Management attributed Q1’s improvement to better commercial execution, faster product launches, greater use of AI internally, and demand from hedge funds, traders, banks, asset owners, and asset managers. Evidence that this sales momentum persisted into June would be a major positive.</w:t>
      </w:r>
    </w:p>
    <w:p>
      <w:pPr>
        <w:pStyle w:val="BodyText"/>
      </w:pPr>
      <w:r>
        <w:t xml:space="preserve">Retention also deserves close attention. Total retention was healthy at</w:t>
      </w:r>
      <w:r>
        <w:t xml:space="preserve"> </w:t>
      </w:r>
      <w:r>
        <w:rPr>
          <w:b/>
          <w:bCs/>
        </w:rPr>
        <w:t xml:space="preserve">95.4%</w:t>
      </w:r>
      <w:r>
        <w:t xml:space="preserve">, but Sustainability &amp; Climate retention was only</w:t>
      </w:r>
      <w:r>
        <w:t xml:space="preserve"> </w:t>
      </w:r>
      <w:r>
        <w:rPr>
          <w:b/>
          <w:bCs/>
        </w:rPr>
        <w:t xml:space="preserve">93.0%</w:t>
      </w:r>
      <w:r>
        <w:t xml:space="preserve">. Stability or improvement in that figure would reduce one of the principal downside concerns.</w:t>
      </w:r>
    </w:p>
    <w:bookmarkEnd w:id="15"/>
    <w:bookmarkStart w:id="16" w:name="X68ed5d4c84d4eb43e606d74f52996ecd9960658"/>
    <w:p>
      <w:pPr>
        <w:pStyle w:val="Heading3"/>
      </w:pPr>
      <w:r>
        <w:t xml:space="preserve">3. Analytics: distinguish underlying momentum from revenue timing</w:t>
      </w:r>
    </w:p>
    <w:p>
      <w:pPr>
        <w:pStyle w:val="FirstParagraph"/>
      </w:pPr>
      <w:r>
        <w:t xml:space="preserve">Analytics revenue grew 10.3% in 1Q, but management was explicit that a large implementation completion boosted nonrecurring revenue. For 2Q, it guided to roughly</w:t>
      </w:r>
      <w:r>
        <w:t xml:space="preserve"> </w:t>
      </w:r>
      <w:r>
        <w:rPr>
          <w:b/>
          <w:bCs/>
        </w:rPr>
        <w:t xml:space="preserve">5% year-over-year Analytics revenue growth</w:t>
      </w:r>
      <w:r>
        <w:t xml:space="preserve">.</w:t>
      </w:r>
    </w:p>
    <w:p>
      <w:pPr>
        <w:pStyle w:val="BodyText"/>
      </w:pPr>
      <w:r>
        <w:t xml:space="preserve">Therefore, a reported growth rate around that level should not automatically be read as a deterioration. More useful indicators are:</w:t>
      </w:r>
    </w:p>
    <w:p>
      <w:pPr>
        <w:pStyle w:val="Compact"/>
        <w:numPr>
          <w:ilvl w:val="0"/>
          <w:numId w:val="1006"/>
        </w:numPr>
      </w:pPr>
      <w:r>
        <w:t xml:space="preserve">Analytics recurring subscription growth;</w:t>
      </w:r>
    </w:p>
    <w:p>
      <w:pPr>
        <w:pStyle w:val="Compact"/>
        <w:numPr>
          <w:ilvl w:val="0"/>
          <w:numId w:val="1006"/>
        </w:numPr>
      </w:pPr>
      <w:r>
        <w:t xml:space="preserve">organic subscription run-rate growth;</w:t>
      </w:r>
    </w:p>
    <w:p>
      <w:pPr>
        <w:pStyle w:val="Compact"/>
        <w:numPr>
          <w:ilvl w:val="0"/>
          <w:numId w:val="1006"/>
        </w:numPr>
      </w:pPr>
      <w:r>
        <w:t xml:space="preserve">net new recurring sales;</w:t>
      </w:r>
    </w:p>
    <w:p>
      <w:pPr>
        <w:pStyle w:val="Compact"/>
        <w:numPr>
          <w:ilvl w:val="0"/>
          <w:numId w:val="1006"/>
        </w:numPr>
      </w:pPr>
      <w:r>
        <w:t xml:space="preserve">retention;</w:t>
      </w:r>
    </w:p>
    <w:p>
      <w:pPr>
        <w:pStyle w:val="Compact"/>
        <w:numPr>
          <w:ilvl w:val="0"/>
          <w:numId w:val="1006"/>
        </w:numPr>
      </w:pPr>
      <w:r>
        <w:t xml:space="preserve">growth with hedge funds, banks/broker-dealers, and asset owners;</w:t>
      </w:r>
    </w:p>
    <w:p>
      <w:pPr>
        <w:pStyle w:val="Compact"/>
        <w:numPr>
          <w:ilvl w:val="0"/>
          <w:numId w:val="1006"/>
        </w:numPr>
      </w:pPr>
      <w:r>
        <w:t xml:space="preserve">enterprise-risk and multi-asset deal activity.</w:t>
      </w:r>
    </w:p>
    <w:p>
      <w:pPr>
        <w:pStyle w:val="FirstParagraph"/>
      </w:pPr>
      <w:r>
        <w:t xml:space="preserve">The fundamental case for Analytics is improving: MSCI reported strength in factor models, crowded-trades data, risk tools, private-credit risk models, and total-portfolio capabilities. But it must translate from promising product momentum into repeatable subscription growth.</w:t>
      </w:r>
    </w:p>
    <w:bookmarkEnd w:id="16"/>
    <w:bookmarkStart w:id="17" w:name="Xac2c3757521348c6413cfe64f6a127b56f11231"/>
    <w:p>
      <w:pPr>
        <w:pStyle w:val="Heading3"/>
      </w:pPr>
      <w:r>
        <w:t xml:space="preserve">4. Private Assets: the strategic upside is clear, but execution remains key</w:t>
      </w:r>
    </w:p>
    <w:p>
      <w:pPr>
        <w:pStyle w:val="FirstParagraph"/>
      </w:pPr>
      <w:r>
        <w:t xml:space="preserve">MSCI’s late-June private-assets update reinforced management’s effort to build a unified public/private-market data, classification, benchmarking, risk, and portfolio-management ecosystem.</w:t>
      </w:r>
    </w:p>
    <w:p>
      <w:pPr>
        <w:pStyle w:val="BodyText"/>
      </w:pPr>
      <w:r>
        <w:t xml:space="preserve">The company is emphasizing:</w:t>
      </w:r>
    </w:p>
    <w:p>
      <w:pPr>
        <w:pStyle w:val="Compact"/>
        <w:numPr>
          <w:ilvl w:val="0"/>
          <w:numId w:val="1007"/>
        </w:numPr>
      </w:pPr>
      <w:r>
        <w:t xml:space="preserve">AI-enabled private-market data ingestion and due diligence;</w:t>
      </w:r>
    </w:p>
    <w:p>
      <w:pPr>
        <w:pStyle w:val="Compact"/>
        <w:numPr>
          <w:ilvl w:val="0"/>
          <w:numId w:val="1007"/>
        </w:numPr>
      </w:pPr>
      <w:r>
        <w:t xml:space="preserve">total-portfolio tools for asset owners;</w:t>
      </w:r>
    </w:p>
    <w:p>
      <w:pPr>
        <w:pStyle w:val="Compact"/>
        <w:numPr>
          <w:ilvl w:val="0"/>
          <w:numId w:val="1007"/>
        </w:numPr>
      </w:pPr>
      <w:r>
        <w:t xml:space="preserve">private credit transparency, terms-and-conditions data, and risk analysis;</w:t>
      </w:r>
    </w:p>
    <w:p>
      <w:pPr>
        <w:pStyle w:val="Compact"/>
        <w:numPr>
          <w:ilvl w:val="0"/>
          <w:numId w:val="1007"/>
        </w:numPr>
      </w:pPr>
      <w:r>
        <w:t xml:space="preserve">more timely private-market valuation and NAV-forecasting tools;</w:t>
      </w:r>
    </w:p>
    <w:p>
      <w:pPr>
        <w:pStyle w:val="Compact"/>
        <w:numPr>
          <w:ilvl w:val="0"/>
          <w:numId w:val="1007"/>
        </w:numPr>
      </w:pPr>
      <w:r>
        <w:t xml:space="preserve">benchmark and classification standards;</w:t>
      </w:r>
    </w:p>
    <w:p>
      <w:pPr>
        <w:pStyle w:val="Compact"/>
        <w:numPr>
          <w:ilvl w:val="0"/>
          <w:numId w:val="1007"/>
        </w:numPr>
      </w:pPr>
      <w:r>
        <w:t xml:space="preserve">infrastructure and data-center analytics;</w:t>
      </w:r>
    </w:p>
    <w:p>
      <w:pPr>
        <w:pStyle w:val="Compact"/>
        <w:numPr>
          <w:ilvl w:val="0"/>
          <w:numId w:val="1007"/>
        </w:numPr>
      </w:pPr>
      <w:r>
        <w:t xml:space="preserve">recent acquisitions including</w:t>
      </w:r>
      <w:r>
        <w:t xml:space="preserve"> </w:t>
      </w:r>
      <w:r>
        <w:rPr>
          <w:b/>
          <w:bCs/>
        </w:rPr>
        <w:t xml:space="preserve">Compass Financial Technologies</w:t>
      </w:r>
      <w:r>
        <w:t xml:space="preserve">,</w:t>
      </w:r>
      <w:r>
        <w:t xml:space="preserve"> </w:t>
      </w:r>
      <w:r>
        <w:rPr>
          <w:b/>
          <w:bCs/>
        </w:rPr>
        <w:t xml:space="preserve">Vantager</w:t>
      </w:r>
      <w:r>
        <w:t xml:space="preserve">, and</w:t>
      </w:r>
      <w:r>
        <w:t xml:space="preserve"> </w:t>
      </w:r>
      <w:r>
        <w:rPr>
          <w:b/>
          <w:bCs/>
        </w:rPr>
        <w:t xml:space="preserve">PM Insights</w:t>
      </w:r>
      <w:r>
        <w:t xml:space="preserve">.</w:t>
      </w:r>
    </w:p>
    <w:p>
      <w:pPr>
        <w:pStyle w:val="FirstParagraph"/>
      </w:pPr>
      <w:r>
        <w:t xml:space="preserve">PCS was growing at nearly 16% subscription run-rate growth in 1Q, while Real Assets still faced transaction-data headwinds. Investors should look for a clear answer on whether PCS growth is accelerating enough to offset the slower Real Assets business—and whether management can improve the segment’s currently modest profitability over time.</w:t>
      </w:r>
    </w:p>
    <w:bookmarkEnd w:id="17"/>
    <w:bookmarkStart w:id="18" w:name="X034af2e577f0a44559dc481f524ce77cbb0352e"/>
    <w:p>
      <w:pPr>
        <w:pStyle w:val="Heading3"/>
      </w:pPr>
      <w:r>
        <w:t xml:space="preserve">5. Sustainability &amp; Climate: the turnaround test</w:t>
      </w:r>
    </w:p>
    <w:p>
      <w:pPr>
        <w:pStyle w:val="FirstParagraph"/>
      </w:pPr>
      <w:r>
        <w:t xml:space="preserve">This is still MSCI’s most challenged operating area. Management has described a rationalization of client spending and higher downsells, even as it claims competitive wins and sees longer-term opportunity in climate physical-risk tools.</w:t>
      </w:r>
    </w:p>
    <w:p>
      <w:pPr>
        <w:pStyle w:val="BodyText"/>
      </w:pPr>
      <w:r>
        <w:t xml:space="preserve">In 2Q, the key question is not necessarily whether growth immediately returns to historical levels. Rather, investors should look for:</w:t>
      </w:r>
    </w:p>
    <w:p>
      <w:pPr>
        <w:pStyle w:val="Compact"/>
        <w:numPr>
          <w:ilvl w:val="0"/>
          <w:numId w:val="1008"/>
        </w:numPr>
      </w:pPr>
      <w:r>
        <w:t xml:space="preserve">reduced cancellations;</w:t>
      </w:r>
    </w:p>
    <w:p>
      <w:pPr>
        <w:pStyle w:val="Compact"/>
        <w:numPr>
          <w:ilvl w:val="0"/>
          <w:numId w:val="1008"/>
        </w:numPr>
      </w:pPr>
      <w:r>
        <w:t xml:space="preserve">stabilization in net new sales;</w:t>
      </w:r>
    </w:p>
    <w:p>
      <w:pPr>
        <w:pStyle w:val="Compact"/>
        <w:numPr>
          <w:ilvl w:val="0"/>
          <w:numId w:val="1008"/>
        </w:numPr>
      </w:pPr>
      <w:r>
        <w:t xml:space="preserve">evidence that physical-risk products are offsetting pressure in broader sustainability budgets;</w:t>
      </w:r>
    </w:p>
    <w:p>
      <w:pPr>
        <w:pStyle w:val="Compact"/>
        <w:numPr>
          <w:ilvl w:val="0"/>
          <w:numId w:val="1008"/>
        </w:numPr>
      </w:pPr>
      <w:r>
        <w:t xml:space="preserve">clarity on the expected duration of muted growth.</w:t>
      </w:r>
    </w:p>
    <w:p>
      <w:pPr>
        <w:pStyle w:val="FirstParagraph"/>
      </w:pPr>
      <w:r>
        <w:t xml:space="preserve">A renewed decline in retention or net sales would likely overshadow otherwise solid company-level results.</w:t>
      </w:r>
    </w:p>
    <w:p>
      <w:r>
        <w:pict>
          <v:rect style="width:0;height:1.5pt" o:hralign="center" o:hrstd="t" o:hr="t"/>
        </w:pict>
      </w:r>
    </w:p>
    <w:bookmarkEnd w:id="18"/>
    <w:bookmarkEnd w:id="19"/>
    <w:bookmarkStart w:id="20" w:name="guidance-margins-and-cash-flow"/>
    <w:p>
      <w:pPr>
        <w:pStyle w:val="Heading2"/>
      </w:pPr>
      <w:r>
        <w:t xml:space="preserve">Guidance, margins, and cash flow</w:t>
      </w:r>
    </w:p>
    <w:p>
      <w:pPr>
        <w:pStyle w:val="FirstParagraph"/>
      </w:pPr>
      <w:r>
        <w:t xml:space="preserve">MSCI’s full-year 2026 guidance, last reaffirmed in April,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 item</w:t>
            </w:r>
          </w:p>
        </w:tc>
        <w:tc>
          <w:tcPr/>
          <w:p>
            <w:pPr>
              <w:pStyle w:val="Compact"/>
              <w:jc w:val="right"/>
            </w:pPr>
            <w:r>
              <w:t xml:space="preserve">Range</w:t>
            </w:r>
          </w:p>
        </w:tc>
      </w:tr>
      <w:tr>
        <w:tc>
          <w:tcPr/>
          <w:p>
            <w:pPr>
              <w:pStyle w:val="Compact"/>
            </w:pPr>
            <w:r>
              <w:t xml:space="preserve">Operating expense</w:t>
            </w:r>
          </w:p>
        </w:tc>
        <w:tc>
          <w:tcPr/>
          <w:p>
            <w:pPr>
              <w:pStyle w:val="Compact"/>
              <w:jc w:val="right"/>
            </w:pPr>
            <m:oMath>
              <m:r>
                <m:t>1.49</m:t>
              </m:r>
              <m:r>
                <m:t>B</m:t>
              </m:r>
              <m:r>
                <m:rPr>
                  <m:sty m:val="p"/>
                </m:rPr>
                <m:t>–</m:t>
              </m:r>
            </m:oMath>
            <w:r>
              <w:t xml:space="preserve">1.53B</w:t>
            </w:r>
          </w:p>
        </w:tc>
      </w:tr>
      <w:tr>
        <w:tc>
          <w:tcPr/>
          <w:p>
            <w:pPr>
              <w:pStyle w:val="Compact"/>
            </w:pPr>
            <w:r>
              <w:t xml:space="preserve">Adjusted EBITDA expense</w:t>
            </w:r>
          </w:p>
        </w:tc>
        <w:tc>
          <w:tcPr/>
          <w:p>
            <w:pPr>
              <w:pStyle w:val="Compact"/>
              <w:jc w:val="right"/>
            </w:pPr>
            <m:oMath>
              <m:r>
                <m:t>1.305</m:t>
              </m:r>
              <m:r>
                <m:t>B</m:t>
              </m:r>
              <m:r>
                <m:rPr>
                  <m:sty m:val="p"/>
                </m:rPr>
                <m:t>–</m:t>
              </m:r>
            </m:oMath>
            <w:r>
              <w:t xml:space="preserve">1.335B</w:t>
            </w:r>
          </w:p>
        </w:tc>
      </w:tr>
      <w:tr>
        <w:tc>
          <w:tcPr/>
          <w:p>
            <w:pPr>
              <w:pStyle w:val="Compact"/>
            </w:pPr>
            <w:r>
              <w:t xml:space="preserve">Interest expense</w:t>
            </w:r>
          </w:p>
        </w:tc>
        <w:tc>
          <w:tcPr/>
          <w:p>
            <w:pPr>
              <w:pStyle w:val="Compact"/>
              <w:jc w:val="right"/>
            </w:pPr>
            <m:oMath>
              <m:r>
                <m:t>274</m:t>
              </m:r>
              <m:r>
                <m:t>M</m:t>
              </m:r>
              <m:r>
                <m:rPr>
                  <m:sty m:val="p"/>
                </m:rPr>
                <m:t>–</m:t>
              </m:r>
            </m:oMath>
            <w:r>
              <w:t xml:space="preserve">280M</w:t>
            </w:r>
          </w:p>
        </w:tc>
      </w:tr>
      <w:tr>
        <w:tc>
          <w:tcPr/>
          <w:p>
            <w:pPr>
              <w:pStyle w:val="Compact"/>
            </w:pPr>
            <w:r>
              <w:t xml:space="preserve">Effective tax rate</w:t>
            </w:r>
          </w:p>
        </w:tc>
        <w:tc>
          <w:tcPr/>
          <w:p>
            <w:pPr>
              <w:pStyle w:val="Compact"/>
              <w:jc w:val="right"/>
            </w:pPr>
            <w:r>
              <w:t xml:space="preserve">18%–20%</w:t>
            </w:r>
          </w:p>
        </w:tc>
      </w:tr>
      <w:tr>
        <w:tc>
          <w:tcPr/>
          <w:p>
            <w:pPr>
              <w:pStyle w:val="Compact"/>
            </w:pPr>
            <w:r>
              <w:t xml:space="preserve">Capex</w:t>
            </w:r>
          </w:p>
        </w:tc>
        <w:tc>
          <w:tcPr/>
          <w:p>
            <w:pPr>
              <w:pStyle w:val="Compact"/>
              <w:jc w:val="right"/>
            </w:pPr>
            <m:oMath>
              <m:r>
                <m:t>160</m:t>
              </m:r>
              <m:r>
                <m:t>M</m:t>
              </m:r>
              <m:r>
                <m:rPr>
                  <m:sty m:val="p"/>
                </m:rPr>
                <m:t>–</m:t>
              </m:r>
            </m:oMath>
            <w:r>
              <w:t xml:space="preserve">170M</w:t>
            </w:r>
          </w:p>
        </w:tc>
      </w:tr>
      <w:tr>
        <w:tc>
          <w:tcPr/>
          <w:p>
            <w:pPr>
              <w:pStyle w:val="Compact"/>
            </w:pPr>
            <w:r>
              <w:t xml:space="preserve">Operating cash flow</w:t>
            </w:r>
          </w:p>
        </w:tc>
        <w:tc>
          <w:tcPr/>
          <w:p>
            <w:pPr>
              <w:pStyle w:val="Compact"/>
              <w:jc w:val="right"/>
            </w:pPr>
            <m:oMath>
              <m:r>
                <m:t>1.64</m:t>
              </m:r>
              <m:r>
                <m:t>B</m:t>
              </m:r>
              <m:r>
                <m:rPr>
                  <m:sty m:val="p"/>
                </m:rPr>
                <m:t>–</m:t>
              </m:r>
            </m:oMath>
            <w:r>
              <w:t xml:space="preserve">1.69B</w:t>
            </w:r>
          </w:p>
        </w:tc>
      </w:tr>
      <w:tr>
        <w:tc>
          <w:tcPr/>
          <w:p>
            <w:pPr>
              <w:pStyle w:val="Compact"/>
            </w:pPr>
            <w:r>
              <w:t xml:space="preserve">Free cash flow</w:t>
            </w:r>
          </w:p>
        </w:tc>
        <w:tc>
          <w:tcPr/>
          <w:p>
            <w:pPr>
              <w:pStyle w:val="Compact"/>
              <w:jc w:val="right"/>
            </w:pPr>
            <m:oMath>
              <m:r>
                <m:t>1.47</m:t>
              </m:r>
              <m:r>
                <m:t>B</m:t>
              </m:r>
              <m:r>
                <m:rPr>
                  <m:sty m:val="p"/>
                </m:rPr>
                <m:t>–</m:t>
              </m:r>
            </m:oMath>
            <w:r>
              <w:t xml:space="preserve">1.53B</w:t>
            </w:r>
          </w:p>
        </w:tc>
      </w:tr>
    </w:tbl>
    <w:p>
      <w:pPr>
        <w:pStyle w:val="BodyText"/>
      </w:pPr>
      <w:r>
        <w:t xml:space="preserve">Management said after 1Q that it was trending toward the</w:t>
      </w:r>
      <w:r>
        <w:t xml:space="preserve"> </w:t>
      </w:r>
      <w:r>
        <w:rPr>
          <w:b/>
          <w:bCs/>
        </w:rPr>
        <w:t xml:space="preserve">top half of the expense-guidance range</w:t>
      </w:r>
      <w:r>
        <w:t xml:space="preserve">, assuming gradual market appreciation through the second half. That comment is important: it implies potential for better-than-expected margins if revenue momentum holds.</w:t>
      </w:r>
    </w:p>
    <w:p>
      <w:pPr>
        <w:pStyle w:val="BodyText"/>
      </w:pPr>
      <w:r>
        <w:t xml:space="preserve">However, 2Q is seasonally MSCI’s largest cash-tax-payment quarter. As a result, investors should avoid overreacting to quarterly free-cash-flow timing and focus instead on whether the full-year FCF outlook is maintained.</w:t>
      </w:r>
    </w:p>
    <w:p>
      <w:pPr>
        <w:pStyle w:val="BodyText"/>
      </w:pPr>
      <w:r>
        <w:t xml:space="preserve">Also normalize for taxes: 1Q GAAP EPS included an</w:t>
      </w:r>
      <w:r>
        <w:t xml:space="preserve"> </w:t>
      </w:r>
      <w:r>
        <w:rPr>
          <w:b/>
          <w:bCs/>
        </w:rPr>
        <w:t xml:space="preserve">$88M discrete tax benefit</w:t>
      </w:r>
      <w:r>
        <w:t xml:space="preserve"> </w:t>
      </w:r>
      <w:r>
        <w:t xml:space="preserve">tied to an internal legal-entity restructuring. Adjusted EPS, rather than GAAP EPS, is the cleaner comparison basis.</w:t>
      </w:r>
    </w:p>
    <w:p>
      <w:r>
        <w:pict>
          <v:rect style="width:0;height:1.5pt" o:hralign="center" o:hrstd="t" o:hr="t"/>
        </w:pict>
      </w:r>
    </w:p>
    <w:bookmarkEnd w:id="20"/>
    <w:bookmarkStart w:id="23" w:name="X31ae231379c2469820ce98cef56e857ce68e0ff"/>
    <w:p>
      <w:pPr>
        <w:pStyle w:val="Heading2"/>
      </w:pPr>
      <w:r>
        <w:t xml:space="preserve">What would constitute a positive or negative report?</w:t>
      </w:r>
    </w:p>
    <w:bookmarkStart w:id="21" w:name="positive-setup"/>
    <w:p>
      <w:pPr>
        <w:pStyle w:val="Heading3"/>
      </w:pPr>
      <w:r>
        <w:t xml:space="preserve">Positive setup</w:t>
      </w:r>
    </w:p>
    <w:p>
      <w:pPr>
        <w:pStyle w:val="FirstParagraph"/>
      </w:pPr>
      <w:r>
        <w:t xml:space="preserve">A constructive result would likely include:</w:t>
      </w:r>
    </w:p>
    <w:p>
      <w:pPr>
        <w:pStyle w:val="Compact"/>
        <w:numPr>
          <w:ilvl w:val="0"/>
          <w:numId w:val="1009"/>
        </w:numPr>
      </w:pPr>
      <w:r>
        <w:t xml:space="preserve">sustained high-single-digit or better organic recurring-subscription run-rate growth;</w:t>
      </w:r>
    </w:p>
    <w:p>
      <w:pPr>
        <w:pStyle w:val="Compact"/>
        <w:numPr>
          <w:ilvl w:val="0"/>
          <w:numId w:val="1009"/>
        </w:numPr>
      </w:pPr>
      <w:r>
        <w:t xml:space="preserve">another strong quarter of Index net new sales and ABF growth;</w:t>
      </w:r>
    </w:p>
    <w:p>
      <w:pPr>
        <w:pStyle w:val="Compact"/>
        <w:numPr>
          <w:ilvl w:val="0"/>
          <w:numId w:val="1009"/>
        </w:numPr>
      </w:pPr>
      <w:r>
        <w:t xml:space="preserve">healthy ETF AUM/flow commentary;</w:t>
      </w:r>
    </w:p>
    <w:p>
      <w:pPr>
        <w:pStyle w:val="Compact"/>
        <w:numPr>
          <w:ilvl w:val="0"/>
          <w:numId w:val="1009"/>
        </w:numPr>
      </w:pPr>
      <w:r>
        <w:t xml:space="preserve">Analytics results in line with the guided mid-single-digit revenue-growth cadence, paired with strong recurring-sales metrics;</w:t>
      </w:r>
    </w:p>
    <w:p>
      <w:pPr>
        <w:pStyle w:val="Compact"/>
        <w:numPr>
          <w:ilvl w:val="0"/>
          <w:numId w:val="1009"/>
        </w:numPr>
      </w:pPr>
      <w:r>
        <w:t xml:space="preserve">continued PCS acceleration;</w:t>
      </w:r>
    </w:p>
    <w:p>
      <w:pPr>
        <w:pStyle w:val="Compact"/>
        <w:numPr>
          <w:ilvl w:val="0"/>
          <w:numId w:val="1009"/>
        </w:numPr>
      </w:pPr>
      <w:r>
        <w:t xml:space="preserve">stable companywide retention and fewer signs of deterioration in Sustainability &amp; Climate;</w:t>
      </w:r>
    </w:p>
    <w:p>
      <w:pPr>
        <w:pStyle w:val="Compact"/>
        <w:numPr>
          <w:ilvl w:val="0"/>
          <w:numId w:val="1009"/>
        </w:numPr>
      </w:pPr>
      <w:r>
        <w:t xml:space="preserve">reaffirmed or improved full-year FCF and expense commentary.</w:t>
      </w:r>
    </w:p>
    <w:bookmarkEnd w:id="21"/>
    <w:bookmarkStart w:id="22" w:name="potential-disappointment"/>
    <w:p>
      <w:pPr>
        <w:pStyle w:val="Heading3"/>
      </w:pPr>
      <w:r>
        <w:t xml:space="preserve">Potential disappointment</w:t>
      </w:r>
    </w:p>
    <w:p>
      <w:pPr>
        <w:pStyle w:val="FirstParagraph"/>
      </w:pPr>
      <w:r>
        <w:t xml:space="preserve">The market may react poorly if it sees:</w:t>
      </w:r>
    </w:p>
    <w:p>
      <w:pPr>
        <w:pStyle w:val="Compact"/>
        <w:numPr>
          <w:ilvl w:val="0"/>
          <w:numId w:val="1010"/>
        </w:numPr>
      </w:pPr>
      <w:r>
        <w:t xml:space="preserve">a sharp sequential falloff in Index sales or ABF run-rate growth;</w:t>
      </w:r>
    </w:p>
    <w:p>
      <w:pPr>
        <w:pStyle w:val="Compact"/>
        <w:numPr>
          <w:ilvl w:val="0"/>
          <w:numId w:val="1010"/>
        </w:numPr>
      </w:pPr>
      <w:r>
        <w:t xml:space="preserve">a material slowdown in ETF/international-equity-related demand;</w:t>
      </w:r>
    </w:p>
    <w:p>
      <w:pPr>
        <w:pStyle w:val="Compact"/>
        <w:numPr>
          <w:ilvl w:val="0"/>
          <w:numId w:val="1010"/>
        </w:numPr>
      </w:pPr>
      <w:r>
        <w:t xml:space="preserve">Analytics growth below the already-telegraphed ~5% level without an offset in run-rate or bookings;</w:t>
      </w:r>
    </w:p>
    <w:p>
      <w:pPr>
        <w:pStyle w:val="Compact"/>
        <w:numPr>
          <w:ilvl w:val="0"/>
          <w:numId w:val="1010"/>
        </w:numPr>
      </w:pPr>
      <w:r>
        <w:t xml:space="preserve">worsening Sustainability &amp; Climate cancellations;</w:t>
      </w:r>
    </w:p>
    <w:p>
      <w:pPr>
        <w:pStyle w:val="Compact"/>
        <w:numPr>
          <w:ilvl w:val="0"/>
          <w:numId w:val="1010"/>
        </w:numPr>
      </w:pPr>
      <w:r>
        <w:t xml:space="preserve">weak PCS growth or more pronounced Real Assets pressure;</w:t>
      </w:r>
    </w:p>
    <w:p>
      <w:pPr>
        <w:pStyle w:val="Compact"/>
        <w:numPr>
          <w:ilvl w:val="0"/>
          <w:numId w:val="1010"/>
        </w:numPr>
      </w:pPr>
      <w:r>
        <w:t xml:space="preserve">higher costs, lower margin expectations, or a reduction in FCF guidance.</w:t>
      </w:r>
    </w:p>
    <w:p>
      <w:r>
        <w:pict>
          <v:rect style="width:0;height:1.5pt" o:hralign="center" o:hrstd="t" o:hr="t"/>
        </w:pict>
      </w:r>
    </w:p>
    <w:bookmarkEnd w:id="22"/>
    <w:bookmarkEnd w:id="23"/>
    <w:bookmarkStart w:id="24" w:name="conclusion"/>
    <w:p>
      <w:pPr>
        <w:pStyle w:val="Heading2"/>
      </w:pPr>
      <w:r>
        <w:t xml:space="preserve">Conclusion</w:t>
      </w:r>
    </w:p>
    <w:p>
      <w:pPr>
        <w:pStyle w:val="FirstParagraph"/>
      </w:pPr>
      <w:r>
        <w:t xml:space="preserve">MSCI heads into 2Q26 as a company with</w:t>
      </w:r>
      <w:r>
        <w:t xml:space="preserve"> </w:t>
      </w:r>
      <w:r>
        <w:rPr>
          <w:b/>
          <w:bCs/>
        </w:rPr>
        <w:t xml:space="preserve">improving operational momentum, exceptional Index economics, and several credible long-duration growth vectors</w:t>
      </w:r>
      <w:r>
        <w:t xml:space="preserve"> </w:t>
      </w:r>
      <w:r>
        <w:t xml:space="preserve">in custom indices, active ETFs, trading, AI-enabled content, and private markets.</w:t>
      </w:r>
    </w:p>
    <w:p>
      <w:pPr>
        <w:pStyle w:val="BodyText"/>
      </w:pPr>
      <w:r>
        <w:t xml:space="preserve">The near-term earnings debate will center on repeatability. Q1 established a high bar: 13.3% organic revenue growth, 8.2% organic recurring-subscription run-rate growth, 25% ABF run-rate growth, and a 52% increase in net new recurring sales. A 2Q report that confirms broad-based sales momentum—particularly in Index and Analytics—would strengthen the case that MSCI’s growth trajectory has structurally improved. Conversely, softer bookings, weakening ABF trends, or further Sustainability &amp; Climate pressure would reinforce the view that Q1 was unusually favorable.</w:t>
      </w:r>
    </w:p>
    <w:p>
      <w:pPr>
        <w:pStyle w:val="BodyText"/>
      </w:pPr>
      <w:r>
        <w:rPr>
          <w:b/>
          <w:bCs/>
        </w:rPr>
        <w:t xml:space="preserve">Most important datapoint:</w:t>
      </w:r>
      <w:r>
        <w:t xml:space="preserve"> </w:t>
      </w:r>
      <w:r>
        <w:t xml:space="preserve">recurring sales and run-rate growth, especially in</w:t>
      </w:r>
      <w:r>
        <w:t xml:space="preserve"> </w:t>
      </w:r>
      <w:r>
        <w:rPr>
          <w:b/>
          <w:bCs/>
        </w:rPr>
        <w:t xml:space="preserve">Index</w:t>
      </w:r>
      <w:r>
        <w:t xml:space="preserve">, rather than headline EPS.</w:t>
      </w:r>
    </w:p>
    <w:p>
      <w:pPr>
        <w:pStyle w:val="BodyText"/>
      </w:pPr>
      <w:r>
        <w:rPr>
          <w:i/>
          <w:iCs/>
        </w:rPr>
        <w:t xml:space="preserve">Sources: MSCI 1Q26 earnings release and conference call; MSCI Private Assets Business Update Webinar on June 25, 2026; MSCI 2Q25 earnings release; historical MSCI share-price data through July 20, 2026.</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2026-07-21T00:48:08Z</dcterms:created>
  <dcterms:modified xsi:type="dcterms:W3CDTF">2026-07-21T00:48:08Z</dcterms:modified>
</cp:coreProperties>
</file>

<file path=docProps/custom.xml><?xml version="1.0" encoding="utf-8"?>
<Properties xmlns="http://schemas.openxmlformats.org/officeDocument/2006/custom-properties" xmlns:vt="http://schemas.openxmlformats.org/officeDocument/2006/docPropsVTypes"/>
</file>