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msci-earnings-predictions--2026-07-21"/>
    <w:p>
      <w:pPr>
        <w:pStyle w:val="Heading1"/>
      </w:pPr>
      <w:r>
        <w:t xml:space="preserve">MSCI Earnings Predictions — 2026-07-21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MSCI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ABF Revenue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~$250M vs. cons $236.3M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MSCI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Net New Recurring Sub Sales (Q2 2026)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~$51M vs. cons $52.7M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MSCI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Total Run Rate (Q2 2026 EOD)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~$3,520M vs. cons $3,481.5M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MSCI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FCF FY2026 (formal range)</w:t>
            </w:r>
          </w:p>
        </w:tc>
        <w:tc>
          <w:tcPr/>
          <w:p>
            <w:pPr>
              <w:pStyle w:val="Compact"/>
            </w:pPr>
            <w:r>
              <w:t xml:space="preserve">UNKNOWN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1</m:t>
              </m:r>
              <m:r>
                <m:rPr>
                  <m:sty m:val="p"/>
                </m:rPr>
                <m:t>,</m:t>
              </m:r>
              <m:r>
                <m:t>470</m:t>
              </m:r>
              <m:r>
                <m:rPr>
                  <m:sty m:val="p"/>
                </m:rPr>
                <m:t>−</m:t>
              </m:r>
            </m:oMath>
            <w:r>
              <w:t xml:space="preserve">1,530M vs. cons UNKNOWN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MSCI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Adj EBITDA Expense FY2026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1</m:t>
              </m:r>
              <m:r>
                <m:rPr>
                  <m:sty m:val="p"/>
                </m:rPr>
                <m:t>,</m:t>
              </m:r>
              <m:r>
                <m:t>305</m:t>
              </m:r>
              <m:r>
                <m:rPr>
                  <m:sty m:val="p"/>
                </m:rPr>
                <m:t>−</m:t>
              </m:r>
            </m:oMath>
            <w:r>
              <w:t xml:space="preserve">1,335M maintained vs. implied midpoint ~$1,320M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MSCI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ABF/Subscription tone (qualitative)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Strong momentum, trending top half — better than feared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MSCI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-3.0%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MSCI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-5.0% (FADE)</w:t>
            </w:r>
          </w:p>
        </w:tc>
        <w:tc>
          <w:tcPr/>
          <w:p>
            <w:pPr>
              <w:pStyle w:val="Compact"/>
            </w:pPr>
            <w:r>
              <w:t xml:space="preserve">FADE — subscription miss pulls estimates lower on out-period math; sell-side trims subscription run rate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2026-07-24T22:21:34Z</dcterms:created>
  <dcterms:modified xsi:type="dcterms:W3CDTF">2026-07-24T22:21:34Z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