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MSCI Inc. (MSCI)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MSCI Inc.</w:t>
            </w:r>
          </w:p>
        </w:tc>
        <w:tc>
          <w:tcPr>
            <w:tcW w:type="dxa" w:w="2160"/>
          </w:tcPr>
          <w:p>
            <w:r>
              <w:rPr>
                <w:rFonts w:ascii="Calibri" w:hAnsi="Calibri"/>
                <w:b/>
                <w:sz w:val="22"/>
              </w:rPr>
              <w:t>Upcoming Earnings</w:t>
            </w:r>
          </w:p>
        </w:tc>
        <w:tc>
          <w:tcPr>
            <w:tcW w:type="dxa" w:w="2160"/>
          </w:tcPr>
          <w:p>
            <w:r>
              <w:rPr>
                <w:rFonts w:ascii="Calibri" w:hAnsi="Calibri"/>
                <w:sz w:val="22"/>
              </w:rPr>
              <w:t>Q2 2026 (Expected Late July 2026)</w:t>
            </w:r>
          </w:p>
        </w:tc>
      </w:tr>
      <w:tr>
        <w:tc>
          <w:tcPr>
            <w:tcW w:type="dxa" w:w="2160"/>
          </w:tcPr>
          <w:p>
            <w:r>
              <w:rPr>
                <w:rFonts w:ascii="Calibri" w:hAnsi="Calibri"/>
                <w:b/>
                <w:sz w:val="22"/>
              </w:rPr>
              <w:t>Ticker</w:t>
            </w:r>
          </w:p>
        </w:tc>
        <w:tc>
          <w:tcPr>
            <w:tcW w:type="dxa" w:w="2160"/>
          </w:tcPr>
          <w:p>
            <w:r>
              <w:rPr>
                <w:rFonts w:ascii="Calibri" w:hAnsi="Calibri"/>
                <w:sz w:val="22"/>
              </w:rPr>
              <w:t>MSCI (NYSE)</w:t>
            </w:r>
          </w:p>
        </w:tc>
        <w:tc>
          <w:tcPr>
            <w:tcW w:type="dxa" w:w="2160"/>
          </w:tcPr>
          <w:p>
            <w:r>
              <w:rPr>
                <w:rFonts w:ascii="Calibri" w:hAnsi="Calibri"/>
                <w:b/>
                <w:sz w:val="22"/>
              </w:rPr>
              <w:t>Last Earnings</w:t>
            </w:r>
          </w:p>
        </w:tc>
        <w:tc>
          <w:tcPr>
            <w:tcW w:type="dxa" w:w="2160"/>
          </w:tcPr>
          <w:p>
            <w:r>
              <w:rPr>
                <w:rFonts w:ascii="Calibri" w:hAnsi="Calibri"/>
                <w:sz w:val="22"/>
              </w:rPr>
              <w:t>Q1 2026 — April 21, 2026 (Beat)</w:t>
            </w:r>
          </w:p>
        </w:tc>
      </w:tr>
      <w:tr>
        <w:tc>
          <w:tcPr>
            <w:tcW w:type="dxa" w:w="2160"/>
          </w:tcPr>
          <w:p>
            <w:r>
              <w:rPr>
                <w:rFonts w:ascii="Calibri" w:hAnsi="Calibri"/>
                <w:b/>
                <w:sz w:val="22"/>
              </w:rPr>
              <w:t>Sector</w:t>
            </w:r>
          </w:p>
        </w:tc>
        <w:tc>
          <w:tcPr>
            <w:tcW w:type="dxa" w:w="2160"/>
          </w:tcPr>
          <w:p>
            <w:r>
              <w:rPr>
                <w:rFonts w:ascii="Calibri" w:hAnsi="Calibri"/>
                <w:sz w:val="22"/>
              </w:rPr>
              <w:t>Financial Data &amp; Stock Exchanges</w:t>
            </w:r>
          </w:p>
        </w:tc>
        <w:tc>
          <w:tcPr>
            <w:tcW w:type="dxa" w:w="2160"/>
          </w:tcPr>
          <w:p>
            <w:r>
              <w:rPr>
                <w:rFonts w:ascii="Calibri" w:hAnsi="Calibri"/>
                <w:b/>
                <w:sz w:val="22"/>
              </w:rPr>
              <w:t>Prepared Date</w:t>
            </w:r>
          </w:p>
        </w:tc>
        <w:tc>
          <w:tcPr>
            <w:tcW w:type="dxa" w:w="2160"/>
          </w:tcPr>
          <w:p>
            <w:r>
              <w:rPr>
                <w:rFonts w:ascii="Calibri" w:hAnsi="Calibri"/>
                <w:sz w:val="22"/>
              </w:rPr>
              <w:t>July 20,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the bar is achievable, ETF AUM tailwinds are tracking well above consensus, and management's tone has been unambiguously bullish since Q1; the single biggest swing factor is whether record Q1 ETF inflows sustained into Q2 or mean-reverted.</w:t>
      </w:r>
    </w:p>
    <w:p>
      <w:r>
        <w:rPr>
          <w:rFonts w:ascii="Calibri" w:hAnsi="Calibri"/>
          <w:color w:val="525866"/>
          <w:sz w:val="22"/>
        </w:rPr>
        <w:t xml:space="preserve">Consensus is calling for Q2 2026 revenue of ~$869M (+12.5% YoY) and operating EPS of ~$4.98, both of which represent a modest step-up from Q1's already-strong print — a bar that looks achievable but not easy. Management exited Q1 with emphatic confidence ("one of the strongest first quarters in our history"), raised D&amp;A guidance, and signaled trending toward the top half of expense guidance, all of which implies internal conviction that ABF momentum is holding. </w:t>
      </w:r>
      <w:r>
        <w:rPr>
          <w:rFonts w:ascii="Calibri" w:hAnsi="Calibri"/>
          <w:b/>
          <w:color w:val="525866"/>
          <w:sz w:val="22"/>
        </w:rPr>
        <w:t>Estimate revisions have been broadly stable-to-upward since the Q1 beat</w:t>
      </w:r>
      <w:r>
        <w:rPr>
          <w:rFonts w:ascii="Calibri" w:hAnsi="Calibri"/>
          <w:color w:val="525866"/>
          <w:sz w:val="22"/>
        </w:rPr>
        <w:t xml:space="preserve">, with Wells Fargo upgrading to Overweight in late May and Jefferies initiating at Buy in mid-July, suggesting the sell-side is incrementally more constructive heading into the print. The stock has recovered from a mid-June trough (~$545) to ~$625 as of July 20, roughly in line with the S&amp;P 500 since last earnings, meaning the market has not yet priced in a second consecutive blowout — leaving room for upside if ABF run rate and net new subscription sales again surprise. The key wildcard is </w:t>
      </w:r>
      <w:r>
        <w:rPr>
          <w:rFonts w:ascii="Calibri" w:hAnsi="Calibri"/>
          <w:b/>
          <w:color w:val="525866"/>
          <w:sz w:val="22"/>
        </w:rPr>
        <w:t>ETF AUM trajectory</w:t>
      </w:r>
      <w:r>
        <w:rPr>
          <w:rFonts w:ascii="Calibri" w:hAnsi="Calibri"/>
          <w:color w:val="525866"/>
          <w:sz w:val="22"/>
        </w:rPr>
        <w:t>: Q1's record inflows (~$247B average AUM vs. $244B consensus) were a once-in-a-quarter event driven by a surge in international/EM equity demand; if Q2 average AUM tracks closer to the $268B consensus estimate, that alone could drive a meaningful ABF beat, but any reversal in EM flows or a risk-off rotation back to US equities could pressure the number.</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Calibri" w:hAnsi="Calibri"/>
                <w:b/>
                <w:sz w:val="22"/>
              </w:rPr>
              <w:t>Setup Factor</w:t>
            </w:r>
          </w:p>
        </w:tc>
        <w:tc>
          <w:tcPr>
            <w:tcW w:type="dxa" w:w="2880"/>
          </w:tcPr>
          <w:p>
            <w:r>
              <w:rPr>
                <w:rFonts w:ascii="Calibri" w:hAnsi="Calibri"/>
                <w:b/>
                <w:sz w:val="22"/>
              </w:rPr>
              <w:t>Assessment</w:t>
            </w:r>
          </w:p>
        </w:tc>
        <w:tc>
          <w:tcPr>
            <w:tcW w:type="dxa" w:w="2880"/>
          </w:tcPr>
          <w:p>
            <w:r>
              <w:rPr>
                <w:rFonts w:ascii="Calibri" w:hAnsi="Calibri"/>
                <w:b/>
                <w:sz w:val="22"/>
              </w:rPr>
              <w:t>Direction</w:t>
            </w:r>
          </w:p>
        </w:tc>
      </w:tr>
      <w:tr>
        <w:tc>
          <w:tcPr>
            <w:tcW w:type="dxa" w:w="2880"/>
          </w:tcPr>
          <w:p>
            <w:r>
              <w:rPr>
                <w:rFonts w:ascii="Calibri" w:hAnsi="Calibri"/>
                <w:sz w:val="22"/>
              </w:rPr>
              <w:t>Bar (Consensus)</w:t>
            </w:r>
          </w:p>
        </w:tc>
        <w:tc>
          <w:tcPr>
            <w:tcW w:type="dxa" w:w="2880"/>
          </w:tcPr>
          <w:p>
            <w:r>
              <w:rPr>
                <w:rFonts w:ascii="Calibri" w:hAnsi="Calibri"/>
                <w:sz w:val="22"/>
              </w:rPr>
              <w:t>Revenue $869M, Op. EPS $4.98 — achievable step-up from Q1 beat</w:t>
            </w:r>
          </w:p>
        </w:tc>
        <w:tc>
          <w:tcPr>
            <w:tcW w:type="dxa" w:w="2880"/>
          </w:tcPr>
          <w:p>
            <w:r>
              <w:rPr>
                <w:rFonts w:ascii="Calibri" w:hAnsi="Calibri"/>
                <w:b/>
                <w:color w:val="30A46C"/>
                <w:sz w:val="22"/>
              </w:rPr>
              <w:t>Moderate / Beatable</w:t>
            </w:r>
          </w:p>
        </w:tc>
      </w:tr>
      <w:tr>
        <w:tc>
          <w:tcPr>
            <w:tcW w:type="dxa" w:w="2880"/>
          </w:tcPr>
          <w:p>
            <w:r>
              <w:rPr>
                <w:rFonts w:ascii="Calibri" w:hAnsi="Calibri"/>
                <w:sz w:val="22"/>
              </w:rPr>
              <w:t>Guidance / Tone</w:t>
            </w:r>
          </w:p>
        </w:tc>
        <w:tc>
          <w:tcPr>
            <w:tcW w:type="dxa" w:w="2880"/>
          </w:tcPr>
          <w:p>
            <w:r>
              <w:rPr>
                <w:rFonts w:ascii="Calibri" w:hAnsi="Calibri"/>
                <w:sz w:val="22"/>
              </w:rPr>
              <w:t>Management emphatic post-Q1; trending toward top half of expense guidance; D&amp;A raised</w:t>
            </w:r>
          </w:p>
        </w:tc>
        <w:tc>
          <w:tcPr>
            <w:tcW w:type="dxa" w:w="2880"/>
          </w:tcPr>
          <w:p>
            <w:r>
              <w:rPr>
                <w:rFonts w:ascii="Calibri" w:hAnsi="Calibri"/>
                <w:b/>
                <w:color w:val="30A46C"/>
                <w:sz w:val="22"/>
              </w:rPr>
              <w:t>Bullish</w:t>
            </w:r>
          </w:p>
        </w:tc>
      </w:tr>
      <w:tr>
        <w:tc>
          <w:tcPr>
            <w:tcW w:type="dxa" w:w="2880"/>
          </w:tcPr>
          <w:p>
            <w:r>
              <w:rPr>
                <w:rFonts w:ascii="Calibri" w:hAnsi="Calibri"/>
                <w:sz w:val="22"/>
              </w:rPr>
              <w:t>Estimate Trajectory</w:t>
            </w:r>
          </w:p>
        </w:tc>
        <w:tc>
          <w:tcPr>
            <w:tcW w:type="dxa" w:w="2880"/>
          </w:tcPr>
          <w:p>
            <w:r>
              <w:rPr>
                <w:rFonts w:ascii="Calibri" w:hAnsi="Calibri"/>
                <w:sz w:val="22"/>
              </w:rPr>
              <w:t>Stable-to-upward revisions; Wells Fargo upgrade (May), Jefferies initiation (July)</w:t>
            </w:r>
          </w:p>
        </w:tc>
        <w:tc>
          <w:tcPr>
            <w:tcW w:type="dxa" w:w="2880"/>
          </w:tcPr>
          <w:p>
            <w:r>
              <w:rPr>
                <w:rFonts w:ascii="Calibri" w:hAnsi="Calibri"/>
                <w:b/>
                <w:color w:val="30A46C"/>
                <w:sz w:val="22"/>
              </w:rPr>
              <w:t>Positive</w:t>
            </w:r>
          </w:p>
        </w:tc>
      </w:tr>
      <w:tr>
        <w:tc>
          <w:tcPr>
            <w:tcW w:type="dxa" w:w="2880"/>
          </w:tcPr>
          <w:p>
            <w:r>
              <w:rPr>
                <w:rFonts w:ascii="Calibri" w:hAnsi="Calibri"/>
                <w:sz w:val="22"/>
              </w:rPr>
              <w:t>Stock Setup</w:t>
            </w:r>
          </w:p>
        </w:tc>
        <w:tc>
          <w:tcPr>
            <w:tcW w:type="dxa" w:w="2880"/>
          </w:tcPr>
          <w:p>
            <w:r>
              <w:rPr>
                <w:rFonts w:ascii="Calibri" w:hAnsi="Calibri"/>
                <w:sz w:val="22"/>
              </w:rPr>
              <w:t>MSCI ~$625, roughly in line with SPY since Q1 earnings; no blowout priced in</w:t>
            </w:r>
          </w:p>
        </w:tc>
        <w:tc>
          <w:tcPr>
            <w:tcW w:type="dxa" w:w="2880"/>
          </w:tcPr>
          <w:p>
            <w:r>
              <w:rPr>
                <w:rFonts w:ascii="Calibri" w:hAnsi="Calibri"/>
                <w:b/>
                <w:color w:val="30A46C"/>
                <w:sz w:val="22"/>
              </w:rPr>
              <w:t>Neutral / Slight Upside</w:t>
            </w:r>
          </w:p>
        </w:tc>
      </w:tr>
      <w:tr>
        <w:tc>
          <w:tcPr>
            <w:tcW w:type="dxa" w:w="2880"/>
          </w:tcPr>
          <w:p>
            <w:r>
              <w:rPr>
                <w:rFonts w:ascii="Calibri" w:hAnsi="Calibri"/>
                <w:sz w:val="22"/>
              </w:rPr>
              <w:t>Wildcard</w:t>
            </w:r>
          </w:p>
        </w:tc>
        <w:tc>
          <w:tcPr>
            <w:tcW w:type="dxa" w:w="2880"/>
          </w:tcPr>
          <w:p>
            <w:r>
              <w:rPr>
                <w:rFonts w:ascii="Calibri" w:hAnsi="Calibri"/>
                <w:sz w:val="22"/>
              </w:rPr>
              <w:t>Q2 ETF AUM / EM flow sustainability vs. Q1 record; Private Assets run rate acceleration</w:t>
            </w:r>
          </w:p>
        </w:tc>
        <w:tc>
          <w:tcPr>
            <w:tcW w:type="dxa" w:w="2880"/>
          </w:tcPr>
          <w:p>
            <w:r>
              <w:rPr>
                <w:rFonts w:ascii="Calibri" w:hAnsi="Calibri"/>
                <w:sz w:val="22"/>
              </w:rPr>
              <w:t>Two-Sided</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across all key metrics; </w:t>
      </w:r>
      <w:r>
        <w:rPr>
          <w:rFonts w:ascii="Calibri" w:hAnsi="Calibri"/>
          <w:b/>
          <w:color w:val="525866"/>
          <w:sz w:val="22"/>
        </w:rPr>
        <w:t>ABF / ETF AUM is the bigger swing factor</w:t>
      </w:r>
      <w:r>
        <w:rPr>
          <w:rFonts w:ascii="Calibri" w:hAnsi="Calibri"/>
          <w:color w:val="525866"/>
          <w:sz w:val="22"/>
        </w:rPr>
        <w:t xml:space="preserve"> — average AUM consensus of ~$2.68T implies meaningful sequential growth from Q1's $2.47T, and any upside there flows directly to revenue and EBITDA. Subscription run rate growth is the secondary watch item, with consensus at ~$2.54T total run rate.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Operating Revenues ($M)</w:t>
            </w:r>
          </w:p>
        </w:tc>
        <w:tc>
          <w:tcPr>
            <w:tcW w:type="dxa" w:w="1234"/>
          </w:tcPr>
          <w:p>
            <w:r>
              <w:rPr>
                <w:rFonts w:ascii="Calibri" w:hAnsi="Calibri"/>
                <w:sz w:val="22"/>
              </w:rPr>
              <w:t>$850.8</w:t>
            </w:r>
          </w:p>
        </w:tc>
        <w:tc>
          <w:tcPr>
            <w:tcW w:type="dxa" w:w="1234"/>
          </w:tcPr>
          <w:p>
            <w:r>
              <w:rPr>
                <w:rFonts w:ascii="Calibri" w:hAnsi="Calibri"/>
                <w:sz w:val="22"/>
              </w:rPr>
              <w:t>$772.7</w:t>
            </w:r>
          </w:p>
        </w:tc>
        <w:tc>
          <w:tcPr>
            <w:tcW w:type="dxa" w:w="1234"/>
          </w:tcPr>
          <w:p>
            <w:r>
              <w:rPr>
                <w:rFonts w:ascii="Calibri" w:hAnsi="Calibri"/>
                <w:sz w:val="22"/>
              </w:rPr>
              <w:t>$869.4</w:t>
            </w:r>
          </w:p>
        </w:tc>
        <w:tc>
          <w:tcPr>
            <w:tcW w:type="dxa" w:w="1234"/>
          </w:tcPr>
          <w:p>
            <w:r>
              <w:rPr>
                <w:rFonts w:ascii="Calibri" w:hAnsi="Calibri"/>
                <w:b/>
                <w:color w:val="30A46C"/>
                <w:sz w:val="22"/>
              </w:rPr>
              <w:t>+12.5%</w:t>
            </w:r>
          </w:p>
        </w:tc>
        <w:tc>
          <w:tcPr>
            <w:tcW w:type="dxa" w:w="1234"/>
          </w:tcPr>
          <w:p>
            <w:r>
              <w:rPr>
                <w:rFonts w:ascii="Calibri" w:hAnsi="Calibri"/>
                <w:sz w:val="22"/>
              </w:rPr>
              <w:t>FY2026: $3,516M (midpoint)</w:t>
            </w:r>
          </w:p>
        </w:tc>
        <w:tc>
          <w:tcPr>
            <w:tcW w:type="dxa" w:w="1234"/>
          </w:tcPr>
          <w:p>
            <w:r>
              <w:rPr>
                <w:rFonts w:ascii="Calibri" w:hAnsi="Calibri"/>
                <w:sz w:val="22"/>
              </w:rPr>
              <w:t>~N/A (quarterly)</w:t>
            </w:r>
          </w:p>
        </w:tc>
      </w:tr>
      <w:tr>
        <w:tc>
          <w:tcPr>
            <w:tcW w:type="dxa" w:w="1234"/>
          </w:tcPr>
          <w:p>
            <w:r>
              <w:rPr>
                <w:rFonts w:ascii="Calibri" w:hAnsi="Calibri"/>
                <w:sz w:val="22"/>
              </w:rPr>
              <w:t>Asset-Based Fees ($M)</w:t>
            </w:r>
          </w:p>
        </w:tc>
        <w:tc>
          <w:tcPr>
            <w:tcW w:type="dxa" w:w="1234"/>
          </w:tcPr>
          <w:p>
            <w:r>
              <w:rPr>
                <w:rFonts w:ascii="Calibri" w:hAnsi="Calibri"/>
                <w:sz w:val="22"/>
              </w:rPr>
              <w:t>$224.5</w:t>
            </w:r>
          </w:p>
        </w:tc>
        <w:tc>
          <w:tcPr>
            <w:tcW w:type="dxa" w:w="1234"/>
          </w:tcPr>
          <w:p>
            <w:r>
              <w:rPr>
                <w:rFonts w:ascii="Calibri" w:hAnsi="Calibri"/>
                <w:sz w:val="22"/>
              </w:rPr>
              <w:t>$184.1</w:t>
            </w:r>
          </w:p>
        </w:tc>
        <w:tc>
          <w:tcPr>
            <w:tcW w:type="dxa" w:w="1234"/>
          </w:tcPr>
          <w:p>
            <w:r>
              <w:rPr>
                <w:rFonts w:ascii="Calibri" w:hAnsi="Calibri"/>
                <w:sz w:val="22"/>
              </w:rPr>
              <w:t>$236.3</w:t>
            </w:r>
          </w:p>
        </w:tc>
        <w:tc>
          <w:tcPr>
            <w:tcW w:type="dxa" w:w="1234"/>
          </w:tcPr>
          <w:p>
            <w:r>
              <w:rPr>
                <w:rFonts w:ascii="Calibri" w:hAnsi="Calibri"/>
                <w:b/>
                <w:color w:val="30A46C"/>
                <w:sz w:val="22"/>
              </w:rPr>
              <w:t>+28.4%</w:t>
            </w:r>
          </w:p>
        </w:tc>
        <w:tc>
          <w:tcPr>
            <w:tcW w:type="dxa" w:w="1234"/>
          </w:tcPr>
          <w:p>
            <w:r>
              <w:rPr>
                <w:rFonts w:ascii="Calibri" w:hAnsi="Calibri"/>
                <w:sz w:val="22"/>
              </w:rPr>
              <w:t>FY2026: $948M (midpoint)</w:t>
            </w:r>
          </w:p>
        </w:tc>
        <w:tc>
          <w:tcPr>
            <w:tcW w:type="dxa" w:w="1234"/>
          </w:tcPr>
          <w:p>
            <w:r>
              <w:rPr>
                <w:rFonts w:ascii="Calibri" w:hAnsi="Calibri"/>
                <w:sz w:val="22"/>
              </w:rPr>
              <w:t>~N/A (quarterly)</w:t>
            </w:r>
          </w:p>
        </w:tc>
      </w:tr>
      <w:tr>
        <w:tc>
          <w:tcPr>
            <w:tcW w:type="dxa" w:w="1234"/>
          </w:tcPr>
          <w:p>
            <w:r>
              <w:rPr>
                <w:rFonts w:ascii="Calibri" w:hAnsi="Calibri"/>
                <w:sz w:val="22"/>
              </w:rPr>
              <w:t>Recurring Subscription Revenue ($M)</w:t>
            </w:r>
          </w:p>
        </w:tc>
        <w:tc>
          <w:tcPr>
            <w:tcW w:type="dxa" w:w="1234"/>
          </w:tcPr>
          <w:p>
            <w:r>
              <w:rPr>
                <w:rFonts w:ascii="Calibri" w:hAnsi="Calibri"/>
                <w:sz w:val="22"/>
              </w:rPr>
              <w:t>$600.2</w:t>
            </w:r>
          </w:p>
        </w:tc>
        <w:tc>
          <w:tcPr>
            <w:tcW w:type="dxa" w:w="1234"/>
          </w:tcPr>
          <w:p>
            <w:r>
              <w:rPr>
                <w:rFonts w:ascii="Calibri" w:hAnsi="Calibri"/>
                <w:sz w:val="22"/>
              </w:rPr>
              <w:t>$562.8</w:t>
            </w:r>
          </w:p>
        </w:tc>
        <w:tc>
          <w:tcPr>
            <w:tcW w:type="dxa" w:w="1234"/>
          </w:tcPr>
          <w:p>
            <w:r>
              <w:rPr>
                <w:rFonts w:ascii="Calibri" w:hAnsi="Calibri"/>
                <w:sz w:val="22"/>
              </w:rPr>
              <w:t>$611.3</w:t>
            </w:r>
          </w:p>
        </w:tc>
        <w:tc>
          <w:tcPr>
            <w:tcW w:type="dxa" w:w="1234"/>
          </w:tcPr>
          <w:p>
            <w:r>
              <w:rPr>
                <w:rFonts w:ascii="Calibri" w:hAnsi="Calibri"/>
                <w:b/>
                <w:color w:val="30A46C"/>
                <w:sz w:val="22"/>
              </w:rPr>
              <w:t>+8.6%</w:t>
            </w:r>
          </w:p>
        </w:tc>
        <w:tc>
          <w:tcPr>
            <w:tcW w:type="dxa" w:w="1234"/>
          </w:tcPr>
          <w:p>
            <w:r>
              <w:rPr>
                <w:rFonts w:ascii="Calibri" w:hAnsi="Calibri"/>
                <w:sz w:val="22"/>
              </w:rPr>
              <w:t>FY2026: $2,474M (midpoint)</w:t>
            </w:r>
          </w:p>
        </w:tc>
        <w:tc>
          <w:tcPr>
            <w:tcW w:type="dxa" w:w="1234"/>
          </w:tcPr>
          <w:p>
            <w:r>
              <w:rPr>
                <w:rFonts w:ascii="Calibri" w:hAnsi="Calibri"/>
                <w:sz w:val="22"/>
              </w:rPr>
              <w:t>~N/A (quarterly)</w:t>
            </w:r>
          </w:p>
        </w:tc>
      </w:tr>
      <w:tr>
        <w:tc>
          <w:tcPr>
            <w:tcW w:type="dxa" w:w="1234"/>
          </w:tcPr>
          <w:p>
            <w:r>
              <w:rPr>
                <w:rFonts w:ascii="Calibri" w:hAnsi="Calibri"/>
                <w:sz w:val="22"/>
              </w:rPr>
              <w:t>Adj. Operating EBITDA ($M)</w:t>
            </w:r>
          </w:p>
        </w:tc>
        <w:tc>
          <w:tcPr>
            <w:tcW w:type="dxa" w:w="1234"/>
          </w:tcPr>
          <w:p>
            <w:r>
              <w:rPr>
                <w:rFonts w:ascii="Calibri" w:hAnsi="Calibri"/>
                <w:sz w:val="22"/>
              </w:rPr>
              <w:t>$504.7</w:t>
            </w:r>
          </w:p>
        </w:tc>
        <w:tc>
          <w:tcPr>
            <w:tcW w:type="dxa" w:w="1234"/>
          </w:tcPr>
          <w:p>
            <w:r>
              <w:rPr>
                <w:rFonts w:ascii="Calibri" w:hAnsi="Calibri"/>
                <w:sz w:val="22"/>
              </w:rPr>
              <w:t>$474.4</w:t>
            </w:r>
          </w:p>
        </w:tc>
        <w:tc>
          <w:tcPr>
            <w:tcW w:type="dxa" w:w="1234"/>
          </w:tcPr>
          <w:p>
            <w:r>
              <w:rPr>
                <w:rFonts w:ascii="Calibri" w:hAnsi="Calibri"/>
                <w:sz w:val="22"/>
              </w:rPr>
              <w:t>$546.2</w:t>
            </w:r>
          </w:p>
        </w:tc>
        <w:tc>
          <w:tcPr>
            <w:tcW w:type="dxa" w:w="1234"/>
          </w:tcPr>
          <w:p>
            <w:r>
              <w:rPr>
                <w:rFonts w:ascii="Calibri" w:hAnsi="Calibri"/>
                <w:b/>
                <w:color w:val="30A46C"/>
                <w:sz w:val="22"/>
              </w:rPr>
              <w:t>+15.1%</w:t>
            </w:r>
          </w:p>
        </w:tc>
        <w:tc>
          <w:tcPr>
            <w:tcW w:type="dxa" w:w="1234"/>
          </w:tcPr>
          <w:p>
            <w:r>
              <w:rPr>
                <w:rFonts w:ascii="Calibri" w:hAnsi="Calibri"/>
                <w:sz w:val="22"/>
              </w:rPr>
              <w:t>FY2026: $2,187M (midpoint)</w:t>
            </w:r>
          </w:p>
        </w:tc>
        <w:tc>
          <w:tcPr>
            <w:tcW w:type="dxa" w:w="1234"/>
          </w:tcPr>
          <w:p>
            <w:r>
              <w:rPr>
                <w:rFonts w:ascii="Calibri" w:hAnsi="Calibri"/>
                <w:sz w:val="22"/>
              </w:rPr>
              <w:t>~N/A (quarterly)</w:t>
            </w:r>
          </w:p>
        </w:tc>
      </w:tr>
      <w:tr>
        <w:tc>
          <w:tcPr>
            <w:tcW w:type="dxa" w:w="1234"/>
          </w:tcPr>
          <w:p>
            <w:r>
              <w:rPr>
                <w:rFonts w:ascii="Calibri" w:hAnsi="Calibri"/>
                <w:sz w:val="22"/>
              </w:rPr>
              <w:t>Adj. Diluted EPS (Operating)</w:t>
            </w:r>
          </w:p>
        </w:tc>
        <w:tc>
          <w:tcPr>
            <w:tcW w:type="dxa" w:w="1234"/>
          </w:tcPr>
          <w:p>
            <w:r>
              <w:rPr>
                <w:rFonts w:ascii="Calibri" w:hAnsi="Calibri"/>
                <w:sz w:val="22"/>
              </w:rPr>
              <w:t>$4.55</w:t>
            </w:r>
          </w:p>
        </w:tc>
        <w:tc>
          <w:tcPr>
            <w:tcW w:type="dxa" w:w="1234"/>
          </w:tcPr>
          <w:p>
            <w:r>
              <w:rPr>
                <w:rFonts w:ascii="Calibri" w:hAnsi="Calibri"/>
                <w:sz w:val="22"/>
              </w:rPr>
              <w:t>$4.17</w:t>
            </w:r>
          </w:p>
        </w:tc>
        <w:tc>
          <w:tcPr>
            <w:tcW w:type="dxa" w:w="1234"/>
          </w:tcPr>
          <w:p>
            <w:r>
              <w:rPr>
                <w:rFonts w:ascii="Calibri" w:hAnsi="Calibri"/>
                <w:sz w:val="22"/>
              </w:rPr>
              <w:t>$4.98</w:t>
            </w:r>
          </w:p>
        </w:tc>
        <w:tc>
          <w:tcPr>
            <w:tcW w:type="dxa" w:w="1234"/>
          </w:tcPr>
          <w:p>
            <w:r>
              <w:rPr>
                <w:rFonts w:ascii="Calibri" w:hAnsi="Calibri"/>
                <w:b/>
                <w:color w:val="30A46C"/>
                <w:sz w:val="22"/>
              </w:rPr>
              <w:t>+19.4%</w:t>
            </w:r>
          </w:p>
        </w:tc>
        <w:tc>
          <w:tcPr>
            <w:tcW w:type="dxa" w:w="1234"/>
          </w:tcPr>
          <w:p>
            <w:r>
              <w:rPr>
                <w:rFonts w:ascii="Calibri" w:hAnsi="Calibri"/>
                <w:sz w:val="22"/>
              </w:rPr>
              <w:t>FY2026: $20.02 (midpoint)</w:t>
            </w:r>
          </w:p>
        </w:tc>
        <w:tc>
          <w:tcPr>
            <w:tcW w:type="dxa" w:w="1234"/>
          </w:tcPr>
          <w:p>
            <w:r>
              <w:rPr>
                <w:rFonts w:ascii="Calibri" w:hAnsi="Calibri"/>
                <w:sz w:val="22"/>
              </w:rPr>
              <w:t>~N/A (quarterly)</w:t>
            </w:r>
          </w:p>
        </w:tc>
      </w:tr>
      <w:tr>
        <w:tc>
          <w:tcPr>
            <w:tcW w:type="dxa" w:w="1234"/>
          </w:tcPr>
          <w:p>
            <w:r>
              <w:rPr>
                <w:rFonts w:ascii="Calibri" w:hAnsi="Calibri"/>
                <w:sz w:val="22"/>
              </w:rPr>
              <w:t>Net New Recurring Subscription Sales ($M)</w:t>
            </w:r>
          </w:p>
        </w:tc>
        <w:tc>
          <w:tcPr>
            <w:tcW w:type="dxa" w:w="1234"/>
          </w:tcPr>
          <w:p>
            <w:r>
              <w:rPr>
                <w:rFonts w:ascii="Calibri" w:hAnsi="Calibri"/>
                <w:sz w:val="22"/>
              </w:rPr>
              <w:t>$39.6</w:t>
            </w:r>
          </w:p>
        </w:tc>
        <w:tc>
          <w:tcPr>
            <w:tcW w:type="dxa" w:w="1234"/>
          </w:tcPr>
          <w:p>
            <w:r>
              <w:rPr>
                <w:rFonts w:ascii="Calibri" w:hAnsi="Calibri"/>
                <w:sz w:val="22"/>
              </w:rPr>
              <w:t>$43.8</w:t>
            </w:r>
          </w:p>
        </w:tc>
        <w:tc>
          <w:tcPr>
            <w:tcW w:type="dxa" w:w="1234"/>
          </w:tcPr>
          <w:p>
            <w:r>
              <w:rPr>
                <w:rFonts w:ascii="Calibri" w:hAnsi="Calibri"/>
                <w:sz w:val="22"/>
              </w:rPr>
              <w:t>$52.7</w:t>
            </w:r>
          </w:p>
        </w:tc>
        <w:tc>
          <w:tcPr>
            <w:tcW w:type="dxa" w:w="1234"/>
          </w:tcPr>
          <w:p>
            <w:r>
              <w:rPr>
                <w:rFonts w:ascii="Calibri" w:hAnsi="Calibri"/>
                <w:b/>
                <w:color w:val="30A46C"/>
                <w:sz w:val="22"/>
              </w:rPr>
              <w:t>+20.2%</w:t>
            </w:r>
          </w:p>
        </w:tc>
        <w:tc>
          <w:tcPr>
            <w:tcW w:type="dxa" w:w="1234"/>
          </w:tcPr>
          <w:p>
            <w:r>
              <w:rPr>
                <w:rFonts w:ascii="Calibri" w:hAnsi="Calibri"/>
                <w:sz w:val="22"/>
              </w:rPr>
              <w:t>FY2026: $205M (midpoint)</w:t>
            </w:r>
          </w:p>
        </w:tc>
        <w:tc>
          <w:tcPr>
            <w:tcW w:type="dxa" w:w="1234"/>
          </w:tcPr>
          <w:p>
            <w:r>
              <w:rPr>
                <w:rFonts w:ascii="Calibri" w:hAnsi="Calibri"/>
                <w:sz w:val="22"/>
              </w:rPr>
              <w:t>~N/A (quarterly)</w:t>
            </w:r>
          </w:p>
        </w:tc>
      </w:tr>
      <w:tr>
        <w:tc>
          <w:tcPr>
            <w:tcW w:type="dxa" w:w="1234"/>
          </w:tcPr>
          <w:p>
            <w:r>
              <w:rPr>
                <w:rFonts w:ascii="Calibri" w:hAnsi="Calibri"/>
                <w:sz w:val="22"/>
              </w:rPr>
              <w:t>Aggregate Retention Rate (%)</w:t>
            </w:r>
          </w:p>
        </w:tc>
        <w:tc>
          <w:tcPr>
            <w:tcW w:type="dxa" w:w="1234"/>
          </w:tcPr>
          <w:p>
            <w:r>
              <w:rPr>
                <w:rFonts w:ascii="Calibri" w:hAnsi="Calibri"/>
                <w:sz w:val="22"/>
              </w:rPr>
              <w:t>95.4%</w:t>
            </w:r>
          </w:p>
        </w:tc>
        <w:tc>
          <w:tcPr>
            <w:tcW w:type="dxa" w:w="1234"/>
          </w:tcPr>
          <w:p>
            <w:r>
              <w:rPr>
                <w:rFonts w:ascii="Calibri" w:hAnsi="Calibri"/>
                <w:sz w:val="22"/>
              </w:rPr>
              <w:t>94.4%</w:t>
            </w:r>
          </w:p>
        </w:tc>
        <w:tc>
          <w:tcPr>
            <w:tcW w:type="dxa" w:w="1234"/>
          </w:tcPr>
          <w:p>
            <w:r>
              <w:rPr>
                <w:rFonts w:ascii="Calibri" w:hAnsi="Calibri"/>
                <w:sz w:val="22"/>
              </w:rPr>
              <w:t>94.6%</w:t>
            </w:r>
          </w:p>
        </w:tc>
        <w:tc>
          <w:tcPr>
            <w:tcW w:type="dxa" w:w="1234"/>
          </w:tcPr>
          <w:p>
            <w:r>
              <w:rPr>
                <w:rFonts w:ascii="Calibri" w:hAnsi="Calibri"/>
                <w:sz w:val="22"/>
              </w:rPr>
              <w:t>+0.2 pp</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Total Run Rate ($B)</w:t>
            </w:r>
          </w:p>
        </w:tc>
        <w:tc>
          <w:tcPr>
            <w:tcW w:type="dxa" w:w="1234"/>
          </w:tcPr>
          <w:p>
            <w:r>
              <w:rPr>
                <w:rFonts w:ascii="Calibri" w:hAnsi="Calibri"/>
                <w:sz w:val="22"/>
              </w:rPr>
              <w:t>$3.357</w:t>
            </w:r>
          </w:p>
        </w:tc>
        <w:tc>
          <w:tcPr>
            <w:tcW w:type="dxa" w:w="1234"/>
          </w:tcPr>
          <w:p>
            <w:r>
              <w:rPr>
                <w:rFonts w:ascii="Calibri" w:hAnsi="Calibri"/>
                <w:sz w:val="22"/>
              </w:rPr>
              <w:t>$3.107</w:t>
            </w:r>
          </w:p>
        </w:tc>
        <w:tc>
          <w:tcPr>
            <w:tcW w:type="dxa" w:w="1234"/>
          </w:tcPr>
          <w:p>
            <w:r>
              <w:rPr>
                <w:rFonts w:ascii="Calibri" w:hAnsi="Calibri"/>
                <w:sz w:val="22"/>
              </w:rPr>
              <w:t>$3.481</w:t>
            </w:r>
          </w:p>
        </w:tc>
        <w:tc>
          <w:tcPr>
            <w:tcW w:type="dxa" w:w="1234"/>
          </w:tcPr>
          <w:p>
            <w:r>
              <w:rPr>
                <w:rFonts w:ascii="Calibri" w:hAnsi="Calibri"/>
                <w:b/>
                <w:color w:val="30A46C"/>
                <w:sz w:val="22"/>
              </w:rPr>
              <w:t>+12.0%</w:t>
            </w:r>
          </w:p>
        </w:tc>
        <w:tc>
          <w:tcPr>
            <w:tcW w:type="dxa" w:w="1234"/>
          </w:tcPr>
          <w:p>
            <w:r>
              <w:rPr>
                <w:rFonts w:ascii="Calibri" w:hAnsi="Calibri"/>
                <w:sz w:val="22"/>
              </w:rPr>
              <w:t>FY2026: $3,632M (midpoint)</w:t>
            </w:r>
          </w:p>
        </w:tc>
        <w:tc>
          <w:tcPr>
            <w:tcW w:type="dxa" w:w="1234"/>
          </w:tcPr>
          <w:p>
            <w:r>
              <w:rPr>
                <w:rFonts w:ascii="Calibri" w:hAnsi="Calibri"/>
                <w:sz w:val="22"/>
              </w:rPr>
              <w:t>~N/A (quarterly)</w:t>
            </w:r>
          </w:p>
        </w:tc>
      </w:tr>
      <w:tr>
        <w:tc>
          <w:tcPr>
            <w:tcW w:type="dxa" w:w="1234"/>
          </w:tcPr>
          <w:p>
            <w:r>
              <w:rPr>
                <w:rFonts w:ascii="Calibri" w:hAnsi="Calibri"/>
                <w:sz w:val="22"/>
              </w:rPr>
              <w:t>ETF AUM Linked to MSCI (EOD, $T)</w:t>
            </w:r>
          </w:p>
        </w:tc>
        <w:tc>
          <w:tcPr>
            <w:tcW w:type="dxa" w:w="1234"/>
          </w:tcPr>
          <w:p>
            <w:r>
              <w:rPr>
                <w:rFonts w:ascii="Calibri" w:hAnsi="Calibri"/>
                <w:sz w:val="22"/>
              </w:rPr>
              <w:t>$2.403</w:t>
            </w:r>
          </w:p>
        </w:tc>
        <w:tc>
          <w:tcPr>
            <w:tcW w:type="dxa" w:w="1234"/>
          </w:tcPr>
          <w:p>
            <w:r>
              <w:rPr>
                <w:rFonts w:ascii="Calibri" w:hAnsi="Calibri"/>
                <w:sz w:val="22"/>
              </w:rPr>
              <w:t>$2.025</w:t>
            </w:r>
          </w:p>
        </w:tc>
        <w:tc>
          <w:tcPr>
            <w:tcW w:type="dxa" w:w="1234"/>
          </w:tcPr>
          <w:p>
            <w:r>
              <w:rPr>
                <w:rFonts w:ascii="Calibri" w:hAnsi="Calibri"/>
                <w:sz w:val="22"/>
              </w:rPr>
              <w:t>$2.789</w:t>
            </w:r>
          </w:p>
        </w:tc>
        <w:tc>
          <w:tcPr>
            <w:tcW w:type="dxa" w:w="1234"/>
          </w:tcPr>
          <w:p>
            <w:r>
              <w:rPr>
                <w:rFonts w:ascii="Calibri" w:hAnsi="Calibri"/>
                <w:b/>
                <w:color w:val="30A46C"/>
                <w:sz w:val="22"/>
              </w:rPr>
              <w:t>+37.8%</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Avg. ETF AUM Linked to MSCI ($T)</w:t>
            </w:r>
          </w:p>
        </w:tc>
        <w:tc>
          <w:tcPr>
            <w:tcW w:type="dxa" w:w="1234"/>
          </w:tcPr>
          <w:p>
            <w:r>
              <w:rPr>
                <w:rFonts w:ascii="Calibri" w:hAnsi="Calibri"/>
                <w:sz w:val="22"/>
              </w:rPr>
              <w:t>$2.471</w:t>
            </w:r>
          </w:p>
        </w:tc>
        <w:tc>
          <w:tcPr>
            <w:tcW w:type="dxa" w:w="1234"/>
          </w:tcPr>
          <w:p>
            <w:r>
              <w:rPr>
                <w:rFonts w:ascii="Calibri" w:hAnsi="Calibri"/>
                <w:sz w:val="22"/>
              </w:rPr>
              <w:t>$1.869</w:t>
            </w:r>
          </w:p>
        </w:tc>
        <w:tc>
          <w:tcPr>
            <w:tcW w:type="dxa" w:w="1234"/>
          </w:tcPr>
          <w:p>
            <w:r>
              <w:rPr>
                <w:rFonts w:ascii="Calibri" w:hAnsi="Calibri"/>
                <w:sz w:val="22"/>
              </w:rPr>
              <w:t>$2.683</w:t>
            </w:r>
          </w:p>
        </w:tc>
        <w:tc>
          <w:tcPr>
            <w:tcW w:type="dxa" w:w="1234"/>
          </w:tcPr>
          <w:p>
            <w:r>
              <w:rPr>
                <w:rFonts w:ascii="Calibri" w:hAnsi="Calibri"/>
                <w:b/>
                <w:color w:val="30A46C"/>
                <w:sz w:val="22"/>
              </w:rPr>
              <w:t>+43.5%</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20, 2026. YoY change calculated vs. Q2 2025 actuals.</w:t>
      </w:r>
    </w:p>
    <w:p>
      <w:pPr>
        <w:pStyle w:val="Heading3"/>
      </w:pPr>
      <w:r>
        <w:rPr>
          <w:rFonts w:ascii="Calibri" w:hAnsi="Calibri"/>
          <w:b/>
          <w:color w:val="3B4259"/>
          <w:sz w:val="24"/>
        </w:rPr>
        <w:t>Table 2 — Beat/Miss History (Last 8 Quarters)</w:t>
      </w:r>
    </w:p>
    <w:p>
      <w:r>
        <w:rPr>
          <w:rFonts w:ascii="Calibri" w:hAnsi="Calibri"/>
          <w:b/>
          <w:color w:val="525866"/>
          <w:sz w:val="22"/>
        </w:rPr>
        <w:t>Top 2 KPIs: (1) Operating Revenues | (2) Adj. Diluted EPS (Operating)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($M)</w:t>
            </w:r>
          </w:p>
        </w:tc>
        <w:tc>
          <w:tcPr>
            <w:tcW w:type="dxa" w:w="1080"/>
            <w:shd w:val="clear" w:color="auto" w:fill="3B4259"/>
          </w:tcPr>
          <w:p>
            <w:r>
              <w:rPr>
                <w:rFonts w:ascii="Calibri" w:hAnsi="Calibri"/>
                <w:b/>
                <w:color w:val="FFFFFF"/>
                <w:sz w:val="22"/>
              </w:rPr>
              <w:t>Revenue Consensus ($M)</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$707.9</w:t>
            </w:r>
          </w:p>
        </w:tc>
        <w:tc>
          <w:tcPr>
            <w:tcW w:type="dxa" w:w="1080"/>
          </w:tcPr>
          <w:p>
            <w:r>
              <w:rPr>
                <w:rFonts w:ascii="Calibri" w:hAnsi="Calibri"/>
                <w:sz w:val="22"/>
              </w:rPr>
              <w:t>$695.3</w:t>
            </w:r>
          </w:p>
        </w:tc>
        <w:tc>
          <w:tcPr>
            <w:tcW w:type="dxa" w:w="1080"/>
          </w:tcPr>
          <w:p>
            <w:r>
              <w:rPr>
                <w:rFonts w:ascii="Calibri" w:hAnsi="Calibri"/>
                <w:b/>
                <w:color w:val="30A46C"/>
                <w:sz w:val="22"/>
              </w:rPr>
              <w:t>+1.8%</w:t>
            </w:r>
          </w:p>
        </w:tc>
        <w:tc>
          <w:tcPr>
            <w:tcW w:type="dxa" w:w="1080"/>
          </w:tcPr>
          <w:p>
            <w:r>
              <w:rPr>
                <w:rFonts w:ascii="Calibri" w:hAnsi="Calibri"/>
                <w:sz w:val="22"/>
              </w:rPr>
              <w:t>$3.64</w:t>
            </w:r>
          </w:p>
        </w:tc>
        <w:tc>
          <w:tcPr>
            <w:tcW w:type="dxa" w:w="1080"/>
          </w:tcPr>
          <w:p>
            <w:r>
              <w:rPr>
                <w:rFonts w:ascii="Calibri" w:hAnsi="Calibri"/>
                <w:sz w:val="22"/>
              </w:rPr>
              <w:t>$3.55</w:t>
            </w:r>
          </w:p>
        </w:tc>
        <w:tc>
          <w:tcPr>
            <w:tcW w:type="dxa" w:w="1080"/>
          </w:tcPr>
          <w:p>
            <w:r>
              <w:rPr>
                <w:rFonts w:ascii="Calibri" w:hAnsi="Calibri"/>
                <w:b/>
                <w:color w:val="30A46C"/>
                <w:sz w:val="22"/>
              </w:rPr>
              <w:t>+2.5%</w:t>
            </w:r>
          </w:p>
        </w:tc>
        <w:tc>
          <w:tcPr>
            <w:tcW w:type="dxa" w:w="1080"/>
          </w:tcPr>
          <w:p>
            <w:r>
              <w:rPr>
                <w:rFonts w:ascii="Calibri" w:hAnsi="Calibri"/>
                <w:b/>
                <w:color w:val="30A46C"/>
                <w:sz w:val="22"/>
              </w:rPr>
              <w:t>Beat</w:t>
            </w:r>
          </w:p>
        </w:tc>
      </w:tr>
      <w:tr>
        <w:tc>
          <w:tcPr>
            <w:tcW w:type="dxa" w:w="1080"/>
          </w:tcPr>
          <w:p>
            <w:r>
              <w:rPr>
                <w:rFonts w:ascii="Calibri" w:hAnsi="Calibri"/>
                <w:sz w:val="22"/>
              </w:rPr>
              <w:t>Q3 2024</w:t>
            </w:r>
          </w:p>
        </w:tc>
        <w:tc>
          <w:tcPr>
            <w:tcW w:type="dxa" w:w="1080"/>
          </w:tcPr>
          <w:p>
            <w:r>
              <w:rPr>
                <w:rFonts w:ascii="Calibri" w:hAnsi="Calibri"/>
                <w:sz w:val="22"/>
              </w:rPr>
              <w:t>$724.7</w:t>
            </w:r>
          </w:p>
        </w:tc>
        <w:tc>
          <w:tcPr>
            <w:tcW w:type="dxa" w:w="1080"/>
          </w:tcPr>
          <w:p>
            <w:r>
              <w:rPr>
                <w:rFonts w:ascii="Calibri" w:hAnsi="Calibri"/>
                <w:sz w:val="22"/>
              </w:rPr>
              <w:t>$715.6</w:t>
            </w:r>
          </w:p>
        </w:tc>
        <w:tc>
          <w:tcPr>
            <w:tcW w:type="dxa" w:w="1080"/>
          </w:tcPr>
          <w:p>
            <w:r>
              <w:rPr>
                <w:rFonts w:ascii="Calibri" w:hAnsi="Calibri"/>
                <w:b/>
                <w:color w:val="30A46C"/>
                <w:sz w:val="22"/>
              </w:rPr>
              <w:t>+1.3%</w:t>
            </w:r>
          </w:p>
        </w:tc>
        <w:tc>
          <w:tcPr>
            <w:tcW w:type="dxa" w:w="1080"/>
          </w:tcPr>
          <w:p>
            <w:r>
              <w:rPr>
                <w:rFonts w:ascii="Calibri" w:hAnsi="Calibri"/>
                <w:sz w:val="22"/>
              </w:rPr>
              <w:t>$3.86</w:t>
            </w:r>
          </w:p>
        </w:tc>
        <w:tc>
          <w:tcPr>
            <w:tcW w:type="dxa" w:w="1080"/>
          </w:tcPr>
          <w:p>
            <w:r>
              <w:rPr>
                <w:rFonts w:ascii="Calibri" w:hAnsi="Calibri"/>
                <w:sz w:val="22"/>
              </w:rPr>
              <w:t>$3.78</w:t>
            </w:r>
          </w:p>
        </w:tc>
        <w:tc>
          <w:tcPr>
            <w:tcW w:type="dxa" w:w="1080"/>
          </w:tcPr>
          <w:p>
            <w:r>
              <w:rPr>
                <w:rFonts w:ascii="Calibri" w:hAnsi="Calibri"/>
                <w:b/>
                <w:color w:val="30A46C"/>
                <w:sz w:val="22"/>
              </w:rPr>
              <w:t>+2.1%</w:t>
            </w:r>
          </w:p>
        </w:tc>
        <w:tc>
          <w:tcPr>
            <w:tcW w:type="dxa" w:w="1080"/>
          </w:tcPr>
          <w:p>
            <w:r>
              <w:rPr>
                <w:rFonts w:ascii="Calibri" w:hAnsi="Calibri"/>
                <w:b/>
                <w:color w:val="30A46C"/>
                <w:sz w:val="22"/>
              </w:rPr>
              <w:t>Beat</w:t>
            </w:r>
          </w:p>
        </w:tc>
      </w:tr>
      <w:tr>
        <w:tc>
          <w:tcPr>
            <w:tcW w:type="dxa" w:w="1080"/>
          </w:tcPr>
          <w:p>
            <w:r>
              <w:rPr>
                <w:rFonts w:ascii="Calibri" w:hAnsi="Calibri"/>
                <w:sz w:val="22"/>
              </w:rPr>
              <w:t>Q4 2024</w:t>
            </w:r>
          </w:p>
        </w:tc>
        <w:tc>
          <w:tcPr>
            <w:tcW w:type="dxa" w:w="1080"/>
          </w:tcPr>
          <w:p>
            <w:r>
              <w:rPr>
                <w:rFonts w:ascii="Calibri" w:hAnsi="Calibri"/>
                <w:sz w:val="22"/>
              </w:rPr>
              <w:t>$743.5</w:t>
            </w:r>
          </w:p>
        </w:tc>
        <w:tc>
          <w:tcPr>
            <w:tcW w:type="dxa" w:w="1080"/>
          </w:tcPr>
          <w:p>
            <w:r>
              <w:rPr>
                <w:rFonts w:ascii="Calibri" w:hAnsi="Calibri"/>
                <w:sz w:val="22"/>
              </w:rPr>
              <w:t>$745.3</w:t>
            </w:r>
          </w:p>
        </w:tc>
        <w:tc>
          <w:tcPr>
            <w:tcW w:type="dxa" w:w="1080"/>
          </w:tcPr>
          <w:p>
            <w:r>
              <w:rPr>
                <w:rFonts w:ascii="Calibri" w:hAnsi="Calibri"/>
                <w:b/>
                <w:color w:val="E5484D"/>
                <w:sz w:val="22"/>
              </w:rPr>
              <w:t>-0.2%</w:t>
            </w:r>
          </w:p>
        </w:tc>
        <w:tc>
          <w:tcPr>
            <w:tcW w:type="dxa" w:w="1080"/>
          </w:tcPr>
          <w:p>
            <w:r>
              <w:rPr>
                <w:rFonts w:ascii="Calibri" w:hAnsi="Calibri"/>
                <w:sz w:val="22"/>
              </w:rPr>
              <w:t>$4.18</w:t>
            </w:r>
          </w:p>
        </w:tc>
        <w:tc>
          <w:tcPr>
            <w:tcW w:type="dxa" w:w="1080"/>
          </w:tcPr>
          <w:p>
            <w:r>
              <w:rPr>
                <w:rFonts w:ascii="Calibri" w:hAnsi="Calibri"/>
                <w:sz w:val="22"/>
              </w:rPr>
              <w:t>$3.94</w:t>
            </w:r>
          </w:p>
        </w:tc>
        <w:tc>
          <w:tcPr>
            <w:tcW w:type="dxa" w:w="1080"/>
          </w:tcPr>
          <w:p>
            <w:r>
              <w:rPr>
                <w:rFonts w:ascii="Calibri" w:hAnsi="Calibri"/>
                <w:b/>
                <w:color w:val="30A46C"/>
                <w:sz w:val="22"/>
              </w:rPr>
              <w:t>+6.1%</w:t>
            </w:r>
          </w:p>
        </w:tc>
        <w:tc>
          <w:tcPr>
            <w:tcW w:type="dxa" w:w="1080"/>
          </w:tcPr>
          <w:p>
            <w:r>
              <w:rPr>
                <w:rFonts w:ascii="Calibri" w:hAnsi="Calibri"/>
                <w:b/>
                <w:color w:val="002FA7"/>
                <w:sz w:val="22"/>
              </w:rPr>
              <w:t>Mixed</w:t>
            </w:r>
          </w:p>
        </w:tc>
      </w:tr>
      <w:tr>
        <w:tc>
          <w:tcPr>
            <w:tcW w:type="dxa" w:w="1080"/>
          </w:tcPr>
          <w:p>
            <w:r>
              <w:rPr>
                <w:rFonts w:ascii="Calibri" w:hAnsi="Calibri"/>
                <w:sz w:val="22"/>
              </w:rPr>
              <w:t>Q1 2025</w:t>
            </w:r>
          </w:p>
        </w:tc>
        <w:tc>
          <w:tcPr>
            <w:tcW w:type="dxa" w:w="1080"/>
          </w:tcPr>
          <w:p>
            <w:r>
              <w:rPr>
                <w:rFonts w:ascii="Calibri" w:hAnsi="Calibri"/>
                <w:sz w:val="22"/>
              </w:rPr>
              <w:t>$745.8</w:t>
            </w:r>
          </w:p>
        </w:tc>
        <w:tc>
          <w:tcPr>
            <w:tcW w:type="dxa" w:w="1080"/>
          </w:tcPr>
          <w:p>
            <w:r>
              <w:rPr>
                <w:rFonts w:ascii="Calibri" w:hAnsi="Calibri"/>
                <w:sz w:val="22"/>
              </w:rPr>
              <w:t>$740.7</w:t>
            </w:r>
          </w:p>
        </w:tc>
        <w:tc>
          <w:tcPr>
            <w:tcW w:type="dxa" w:w="1080"/>
          </w:tcPr>
          <w:p>
            <w:r>
              <w:rPr>
                <w:rFonts w:ascii="Calibri" w:hAnsi="Calibri"/>
                <w:b/>
                <w:color w:val="30A46C"/>
                <w:sz w:val="22"/>
              </w:rPr>
              <w:t>+0.7%</w:t>
            </w:r>
          </w:p>
        </w:tc>
        <w:tc>
          <w:tcPr>
            <w:tcW w:type="dxa" w:w="1080"/>
          </w:tcPr>
          <w:p>
            <w:r>
              <w:rPr>
                <w:rFonts w:ascii="Calibri" w:hAnsi="Calibri"/>
                <w:sz w:val="22"/>
              </w:rPr>
              <w:t>$4.00</w:t>
            </w:r>
          </w:p>
        </w:tc>
        <w:tc>
          <w:tcPr>
            <w:tcW w:type="dxa" w:w="1080"/>
          </w:tcPr>
          <w:p>
            <w:r>
              <w:rPr>
                <w:rFonts w:ascii="Calibri" w:hAnsi="Calibri"/>
                <w:sz w:val="22"/>
              </w:rPr>
              <w:t>$3.88</w:t>
            </w:r>
          </w:p>
        </w:tc>
        <w:tc>
          <w:tcPr>
            <w:tcW w:type="dxa" w:w="1080"/>
          </w:tcPr>
          <w:p>
            <w:r>
              <w:rPr>
                <w:rFonts w:ascii="Calibri" w:hAnsi="Calibri"/>
                <w:b/>
                <w:color w:val="30A46C"/>
                <w:sz w:val="22"/>
              </w:rPr>
              <w:t>+3.1%</w:t>
            </w:r>
          </w:p>
        </w:tc>
        <w:tc>
          <w:tcPr>
            <w:tcW w:type="dxa" w:w="1080"/>
          </w:tcPr>
          <w:p>
            <w:r>
              <w:rPr>
                <w:rFonts w:ascii="Calibri" w:hAnsi="Calibri"/>
                <w:b/>
                <w:color w:val="30A46C"/>
                <w:sz w:val="22"/>
              </w:rPr>
              <w:t>Beat</w:t>
            </w:r>
          </w:p>
        </w:tc>
      </w:tr>
      <w:tr>
        <w:tc>
          <w:tcPr>
            <w:tcW w:type="dxa" w:w="1080"/>
          </w:tcPr>
          <w:p>
            <w:r>
              <w:rPr>
                <w:rFonts w:ascii="Calibri" w:hAnsi="Calibri"/>
                <w:sz w:val="22"/>
              </w:rPr>
              <w:t>Q2 2025</w:t>
            </w:r>
          </w:p>
        </w:tc>
        <w:tc>
          <w:tcPr>
            <w:tcW w:type="dxa" w:w="1080"/>
          </w:tcPr>
          <w:p>
            <w:r>
              <w:rPr>
                <w:rFonts w:ascii="Calibri" w:hAnsi="Calibri"/>
                <w:sz w:val="22"/>
              </w:rPr>
              <w:t>$772.7</w:t>
            </w:r>
          </w:p>
        </w:tc>
        <w:tc>
          <w:tcPr>
            <w:tcW w:type="dxa" w:w="1080"/>
          </w:tcPr>
          <w:p>
            <w:r>
              <w:rPr>
                <w:rFonts w:ascii="Calibri" w:hAnsi="Calibri"/>
                <w:sz w:val="22"/>
              </w:rPr>
              <w:t>$768.3</w:t>
            </w:r>
          </w:p>
        </w:tc>
        <w:tc>
          <w:tcPr>
            <w:tcW w:type="dxa" w:w="1080"/>
          </w:tcPr>
          <w:p>
            <w:r>
              <w:rPr>
                <w:rFonts w:ascii="Calibri" w:hAnsi="Calibri"/>
                <w:b/>
                <w:color w:val="30A46C"/>
                <w:sz w:val="22"/>
              </w:rPr>
              <w:t>+0.6%</w:t>
            </w:r>
          </w:p>
        </w:tc>
        <w:tc>
          <w:tcPr>
            <w:tcW w:type="dxa" w:w="1080"/>
          </w:tcPr>
          <w:p>
            <w:r>
              <w:rPr>
                <w:rFonts w:ascii="Calibri" w:hAnsi="Calibri"/>
                <w:sz w:val="22"/>
              </w:rPr>
              <w:t>$4.17</w:t>
            </w:r>
          </w:p>
        </w:tc>
        <w:tc>
          <w:tcPr>
            <w:tcW w:type="dxa" w:w="1080"/>
          </w:tcPr>
          <w:p>
            <w:r>
              <w:rPr>
                <w:rFonts w:ascii="Calibri" w:hAnsi="Calibri"/>
                <w:sz w:val="22"/>
              </w:rPr>
              <w:t>$4.12</w:t>
            </w:r>
          </w:p>
        </w:tc>
        <w:tc>
          <w:tcPr>
            <w:tcW w:type="dxa" w:w="1080"/>
          </w:tcPr>
          <w:p>
            <w:r>
              <w:rPr>
                <w:rFonts w:ascii="Calibri" w:hAnsi="Calibri"/>
                <w:b/>
                <w:color w:val="30A46C"/>
                <w:sz w:val="22"/>
              </w:rPr>
              <w:t>+1.2%</w:t>
            </w:r>
          </w:p>
        </w:tc>
        <w:tc>
          <w:tcPr>
            <w:tcW w:type="dxa" w:w="1080"/>
          </w:tcPr>
          <w:p>
            <w:r>
              <w:rPr>
                <w:rFonts w:ascii="Calibri" w:hAnsi="Calibri"/>
                <w:b/>
                <w:color w:val="30A46C"/>
                <w:sz w:val="22"/>
              </w:rPr>
              <w:t>Beat</w:t>
            </w:r>
          </w:p>
        </w:tc>
      </w:tr>
      <w:tr>
        <w:tc>
          <w:tcPr>
            <w:tcW w:type="dxa" w:w="1080"/>
          </w:tcPr>
          <w:p>
            <w:r>
              <w:rPr>
                <w:rFonts w:ascii="Calibri" w:hAnsi="Calibri"/>
                <w:sz w:val="22"/>
              </w:rPr>
              <w:t>Q3 2025</w:t>
            </w:r>
          </w:p>
        </w:tc>
        <w:tc>
          <w:tcPr>
            <w:tcW w:type="dxa" w:w="1080"/>
          </w:tcPr>
          <w:p>
            <w:r>
              <w:rPr>
                <w:rFonts w:ascii="Calibri" w:hAnsi="Calibri"/>
                <w:sz w:val="22"/>
              </w:rPr>
              <w:t>$793.4</w:t>
            </w:r>
          </w:p>
        </w:tc>
        <w:tc>
          <w:tcPr>
            <w:tcW w:type="dxa" w:w="1080"/>
          </w:tcPr>
          <w:p>
            <w:r>
              <w:rPr>
                <w:rFonts w:ascii="Calibri" w:hAnsi="Calibri"/>
                <w:sz w:val="22"/>
              </w:rPr>
              <w:t>$794.7</w:t>
            </w:r>
          </w:p>
        </w:tc>
        <w:tc>
          <w:tcPr>
            <w:tcW w:type="dxa" w:w="1080"/>
          </w:tcPr>
          <w:p>
            <w:r>
              <w:rPr>
                <w:rFonts w:ascii="Calibri" w:hAnsi="Calibri"/>
                <w:b/>
                <w:color w:val="E5484D"/>
                <w:sz w:val="22"/>
              </w:rPr>
              <w:t>-0.2%</w:t>
            </w:r>
          </w:p>
        </w:tc>
        <w:tc>
          <w:tcPr>
            <w:tcW w:type="dxa" w:w="1080"/>
          </w:tcPr>
          <w:p>
            <w:r>
              <w:rPr>
                <w:rFonts w:ascii="Calibri" w:hAnsi="Calibri"/>
                <w:sz w:val="22"/>
              </w:rPr>
              <w:t>$4.47</w:t>
            </w:r>
          </w:p>
        </w:tc>
        <w:tc>
          <w:tcPr>
            <w:tcW w:type="dxa" w:w="1080"/>
          </w:tcPr>
          <w:p>
            <w:r>
              <w:rPr>
                <w:rFonts w:ascii="Calibri" w:hAnsi="Calibri"/>
                <w:sz w:val="22"/>
              </w:rPr>
              <w:t>$4.36</w:t>
            </w:r>
          </w:p>
        </w:tc>
        <w:tc>
          <w:tcPr>
            <w:tcW w:type="dxa" w:w="1080"/>
          </w:tcPr>
          <w:p>
            <w:r>
              <w:rPr>
                <w:rFonts w:ascii="Calibri" w:hAnsi="Calibri"/>
                <w:b/>
                <w:color w:val="30A46C"/>
                <w:sz w:val="22"/>
              </w:rPr>
              <w:t>+2.5%</w:t>
            </w:r>
          </w:p>
        </w:tc>
        <w:tc>
          <w:tcPr>
            <w:tcW w:type="dxa" w:w="1080"/>
          </w:tcPr>
          <w:p>
            <w:r>
              <w:rPr>
                <w:rFonts w:ascii="Calibri" w:hAnsi="Calibri"/>
                <w:b/>
                <w:color w:val="002FA7"/>
                <w:sz w:val="22"/>
              </w:rPr>
              <w:t>Mixed</w:t>
            </w:r>
          </w:p>
        </w:tc>
      </w:tr>
      <w:tr>
        <w:tc>
          <w:tcPr>
            <w:tcW w:type="dxa" w:w="1080"/>
          </w:tcPr>
          <w:p>
            <w:r>
              <w:rPr>
                <w:rFonts w:ascii="Calibri" w:hAnsi="Calibri"/>
                <w:sz w:val="22"/>
              </w:rPr>
              <w:t>Q4 2025</w:t>
            </w:r>
          </w:p>
        </w:tc>
        <w:tc>
          <w:tcPr>
            <w:tcW w:type="dxa" w:w="1080"/>
          </w:tcPr>
          <w:p>
            <w:r>
              <w:rPr>
                <w:rFonts w:ascii="Calibri" w:hAnsi="Calibri"/>
                <w:sz w:val="22"/>
              </w:rPr>
              <w:t>$822.5</w:t>
            </w:r>
          </w:p>
        </w:tc>
        <w:tc>
          <w:tcPr>
            <w:tcW w:type="dxa" w:w="1080"/>
          </w:tcPr>
          <w:p>
            <w:r>
              <w:rPr>
                <w:rFonts w:ascii="Calibri" w:hAnsi="Calibri"/>
                <w:sz w:val="22"/>
              </w:rPr>
              <w:t>$824.9</w:t>
            </w:r>
          </w:p>
        </w:tc>
        <w:tc>
          <w:tcPr>
            <w:tcW w:type="dxa" w:w="1080"/>
          </w:tcPr>
          <w:p>
            <w:r>
              <w:rPr>
                <w:rFonts w:ascii="Calibri" w:hAnsi="Calibri"/>
                <w:b/>
                <w:color w:val="E5484D"/>
                <w:sz w:val="22"/>
              </w:rPr>
              <w:t>-0.3%</w:t>
            </w:r>
          </w:p>
        </w:tc>
        <w:tc>
          <w:tcPr>
            <w:tcW w:type="dxa" w:w="1080"/>
          </w:tcPr>
          <w:p>
            <w:r>
              <w:rPr>
                <w:rFonts w:ascii="Calibri" w:hAnsi="Calibri"/>
                <w:sz w:val="22"/>
              </w:rPr>
              <w:t>$4.66</w:t>
            </w:r>
          </w:p>
        </w:tc>
        <w:tc>
          <w:tcPr>
            <w:tcW w:type="dxa" w:w="1080"/>
          </w:tcPr>
          <w:p>
            <w:r>
              <w:rPr>
                <w:rFonts w:ascii="Calibri" w:hAnsi="Calibri"/>
                <w:sz w:val="22"/>
              </w:rPr>
              <w:t>$4.58</w:t>
            </w:r>
          </w:p>
        </w:tc>
        <w:tc>
          <w:tcPr>
            <w:tcW w:type="dxa" w:w="1080"/>
          </w:tcPr>
          <w:p>
            <w:r>
              <w:rPr>
                <w:rFonts w:ascii="Calibri" w:hAnsi="Calibri"/>
                <w:b/>
                <w:color w:val="30A46C"/>
                <w:sz w:val="22"/>
              </w:rPr>
              <w:t>+1.7%</w:t>
            </w:r>
          </w:p>
        </w:tc>
        <w:tc>
          <w:tcPr>
            <w:tcW w:type="dxa" w:w="1080"/>
          </w:tcPr>
          <w:p>
            <w:r>
              <w:rPr>
                <w:rFonts w:ascii="Calibri" w:hAnsi="Calibri"/>
                <w:b/>
                <w:color w:val="002FA7"/>
                <w:sz w:val="22"/>
              </w:rPr>
              <w:t>Mixed</w:t>
            </w:r>
          </w:p>
        </w:tc>
      </w:tr>
      <w:tr>
        <w:tc>
          <w:tcPr>
            <w:tcW w:type="dxa" w:w="1080"/>
          </w:tcPr>
          <w:p>
            <w:r>
              <w:rPr>
                <w:rFonts w:ascii="Calibri" w:hAnsi="Calibri"/>
                <w:sz w:val="22"/>
              </w:rPr>
              <w:t>Q1 2026</w:t>
            </w:r>
          </w:p>
        </w:tc>
        <w:tc>
          <w:tcPr>
            <w:tcW w:type="dxa" w:w="1080"/>
          </w:tcPr>
          <w:p>
            <w:r>
              <w:rPr>
                <w:rFonts w:ascii="Calibri" w:hAnsi="Calibri"/>
                <w:sz w:val="22"/>
              </w:rPr>
              <w:t>$850.8</w:t>
            </w:r>
          </w:p>
        </w:tc>
        <w:tc>
          <w:tcPr>
            <w:tcW w:type="dxa" w:w="1080"/>
          </w:tcPr>
          <w:p>
            <w:r>
              <w:rPr>
                <w:rFonts w:ascii="Calibri" w:hAnsi="Calibri"/>
                <w:sz w:val="22"/>
              </w:rPr>
              <w:t>$839.3</w:t>
            </w:r>
          </w:p>
        </w:tc>
        <w:tc>
          <w:tcPr>
            <w:tcW w:type="dxa" w:w="1080"/>
          </w:tcPr>
          <w:p>
            <w:r>
              <w:rPr>
                <w:rFonts w:ascii="Calibri" w:hAnsi="Calibri"/>
                <w:b/>
                <w:color w:val="30A46C"/>
                <w:sz w:val="22"/>
              </w:rPr>
              <w:t>+1.4%</w:t>
            </w:r>
          </w:p>
        </w:tc>
        <w:tc>
          <w:tcPr>
            <w:tcW w:type="dxa" w:w="1080"/>
          </w:tcPr>
          <w:p>
            <w:r>
              <w:rPr>
                <w:rFonts w:ascii="Calibri" w:hAnsi="Calibri"/>
                <w:sz w:val="22"/>
              </w:rPr>
              <w:t>$4.55</w:t>
            </w:r>
          </w:p>
        </w:tc>
        <w:tc>
          <w:tcPr>
            <w:tcW w:type="dxa" w:w="1080"/>
          </w:tcPr>
          <w:p>
            <w:r>
              <w:rPr>
                <w:rFonts w:ascii="Calibri" w:hAnsi="Calibri"/>
                <w:sz w:val="22"/>
              </w:rPr>
              <w:t>$4.44</w:t>
            </w:r>
          </w:p>
        </w:tc>
        <w:tc>
          <w:tcPr>
            <w:tcW w:type="dxa" w:w="1080"/>
          </w:tcPr>
          <w:p>
            <w:r>
              <w:rPr>
                <w:rFonts w:ascii="Calibri" w:hAnsi="Calibri"/>
                <w:b/>
                <w:color w:val="30A46C"/>
                <w:sz w:val="22"/>
              </w:rPr>
              <w:t>+2.5%</w:t>
            </w:r>
          </w:p>
        </w:tc>
        <w:tc>
          <w:tcPr>
            <w:tcW w:type="dxa" w:w="108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MSCI has beaten on EPS in all 8 of the last 8 quarters; revenue beats are less consistent (5 of 8), with the misses concentrated in Q4 2024, Q3 2025, and Q4 2025 — all driven by ABF/ETF AUM timing rather than subscription weakness. EPS beats have been driven by operating leverage and buybacks.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shifted from cautious in mid-2025 to emphatic optimism by Q1 2026; </w:t>
      </w:r>
      <w:r>
        <w:rPr>
          <w:rFonts w:ascii="Calibri" w:hAnsi="Calibri"/>
          <w:b/>
          <w:color w:val="525866"/>
          <w:sz w:val="22"/>
        </w:rPr>
        <w:t>no formal guidance changes since Q1 earnings</w:t>
      </w:r>
      <w:r>
        <w:rPr>
          <w:rFonts w:ascii="Calibri" w:hAnsi="Calibri"/>
          <w:color w:val="525866"/>
          <w:sz w:val="22"/>
        </w:rPr>
        <w:t>, but the Private Assets Business Update Webinar (June 25) and ongoing analyst upgrades signal the sell-side is increasingly aligned with management's bullish posture.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Baseline (Apr 21, 2026)</w:t>
            </w:r>
          </w:p>
        </w:tc>
        <w:tc>
          <w:tcPr>
            <w:tcW w:type="dxa" w:w="2160"/>
            <w:shd w:val="clear" w:color="auto" w:fill="3B4259"/>
          </w:tcPr>
          <w:p>
            <w:r>
              <w:rPr>
                <w:rFonts w:ascii="Calibri" w:hAnsi="Calibri"/>
                <w:b/>
                <w:color w:val="FFFFFF"/>
                <w:sz w:val="22"/>
              </w:rPr>
              <w:t>Current Status / Post-Earnings Update</w:t>
            </w:r>
          </w:p>
        </w:tc>
        <w:tc>
          <w:tcPr>
            <w:tcW w:type="dxa" w:w="2160"/>
            <w:shd w:val="clear" w:color="auto" w:fill="3B4259"/>
          </w:tcPr>
          <w:p>
            <w:r>
              <w:rPr>
                <w:rFonts w:ascii="Calibri" w:hAnsi="Calibri"/>
                <w:b/>
                <w:color w:val="FFFFFF"/>
                <w:sz w:val="22"/>
              </w:rPr>
              <w:t>Change?</w:t>
            </w:r>
          </w:p>
        </w:tc>
      </w:tr>
      <w:tr>
        <w:tc>
          <w:tcPr>
            <w:tcW w:type="dxa" w:w="2160"/>
          </w:tcPr>
          <w:p>
            <w:r>
              <w:rPr>
                <w:rFonts w:ascii="Calibri" w:hAnsi="Calibri"/>
                <w:sz w:val="22"/>
              </w:rPr>
              <w:t>Full-Year Revenue</w:t>
            </w:r>
          </w:p>
        </w:tc>
        <w:tc>
          <w:tcPr>
            <w:tcW w:type="dxa" w:w="2160"/>
          </w:tcPr>
          <w:p>
            <w:r>
              <w:rPr>
                <w:rFonts w:ascii="Calibri" w:hAnsi="Calibri"/>
                <w:sz w:val="22"/>
              </w:rPr>
              <w:t>FY2026 guidance unchanged; trending toward top half of expense guidance given strong ABF</w:t>
            </w:r>
          </w:p>
        </w:tc>
        <w:tc>
          <w:tcPr>
            <w:tcW w:type="dxa" w:w="2160"/>
          </w:tcPr>
          <w:p>
            <w:r>
              <w:rPr>
                <w:rFonts w:ascii="Calibri" w:hAnsi="Calibri"/>
                <w:sz w:val="22"/>
              </w:rPr>
              <w:t>No formal update; consensus at $3,516M for FY2026</w:t>
            </w:r>
          </w:p>
        </w:tc>
        <w:tc>
          <w:tcPr>
            <w:tcW w:type="dxa" w:w="2160"/>
          </w:tcPr>
          <w:p>
            <w:r>
              <w:rPr>
                <w:rFonts w:ascii="Calibri" w:hAnsi="Calibri"/>
                <w:sz w:val="22"/>
              </w:rPr>
              <w:t>Unchanged</w:t>
            </w:r>
          </w:p>
        </w:tc>
      </w:tr>
      <w:tr>
        <w:tc>
          <w:tcPr>
            <w:tcW w:type="dxa" w:w="2160"/>
          </w:tcPr>
          <w:p>
            <w:r>
              <w:rPr>
                <w:rFonts w:ascii="Calibri" w:hAnsi="Calibri"/>
                <w:sz w:val="22"/>
              </w:rPr>
              <w:t>D&amp;A Guidance</w:t>
            </w:r>
          </w:p>
        </w:tc>
        <w:tc>
          <w:tcPr>
            <w:tcW w:type="dxa" w:w="2160"/>
          </w:tcPr>
          <w:p>
            <w:r>
              <w:rPr>
                <w:rFonts w:ascii="Calibri" w:hAnsi="Calibri"/>
                <w:sz w:val="22"/>
              </w:rPr>
              <w:t>Raised modestly to incorporate acquisition-related intangibles</w:t>
            </w:r>
          </w:p>
        </w:tc>
        <w:tc>
          <w:tcPr>
            <w:tcW w:type="dxa" w:w="2160"/>
          </w:tcPr>
          <w:p>
            <w:r>
              <w:rPr>
                <w:rFonts w:ascii="Calibri" w:hAnsi="Calibri"/>
                <w:sz w:val="22"/>
              </w:rPr>
              <w:t>No further update</w:t>
            </w:r>
          </w:p>
        </w:tc>
        <w:tc>
          <w:tcPr>
            <w:tcW w:type="dxa" w:w="2160"/>
          </w:tcPr>
          <w:p>
            <w:r>
              <w:rPr>
                <w:rFonts w:ascii="Calibri" w:hAnsi="Calibri"/>
                <w:sz w:val="22"/>
              </w:rPr>
              <w:t>Raised (Q1)</w:t>
            </w:r>
          </w:p>
        </w:tc>
      </w:tr>
      <w:tr>
        <w:tc>
          <w:tcPr>
            <w:tcW w:type="dxa" w:w="2160"/>
          </w:tcPr>
          <w:p>
            <w:r>
              <w:rPr>
                <w:rFonts w:ascii="Calibri" w:hAnsi="Calibri"/>
                <w:sz w:val="22"/>
              </w:rPr>
              <w:t>Expense Guidance</w:t>
            </w:r>
          </w:p>
        </w:tc>
        <w:tc>
          <w:tcPr>
            <w:tcW w:type="dxa" w:w="2160"/>
          </w:tcPr>
          <w:p>
            <w:r>
              <w:rPr>
                <w:rFonts w:ascii="Calibri" w:hAnsi="Calibri"/>
                <w:sz w:val="22"/>
              </w:rPr>
              <w:t>Trending toward top half of expense guidance range</w:t>
            </w:r>
          </w:p>
        </w:tc>
        <w:tc>
          <w:tcPr>
            <w:tcW w:type="dxa" w:w="2160"/>
          </w:tcPr>
          <w:p>
            <w:r>
              <w:rPr>
                <w:rFonts w:ascii="Calibri" w:hAnsi="Calibri"/>
                <w:sz w:val="22"/>
              </w:rPr>
              <w:t>No formal update; implies operating leverage may be slightly lower than low-end scenario</w:t>
            </w:r>
          </w:p>
        </w:tc>
        <w:tc>
          <w:tcPr>
            <w:tcW w:type="dxa" w:w="2160"/>
          </w:tcPr>
          <w:p>
            <w:r>
              <w:rPr>
                <w:rFonts w:ascii="Calibri" w:hAnsi="Calibri"/>
                <w:sz w:val="22"/>
              </w:rPr>
              <w:t>Slight Upward Bias</w:t>
            </w:r>
          </w:p>
        </w:tc>
      </w:tr>
      <w:tr>
        <w:tc>
          <w:tcPr>
            <w:tcW w:type="dxa" w:w="2160"/>
          </w:tcPr>
          <w:p>
            <w:r>
              <w:rPr>
                <w:rFonts w:ascii="Calibri" w:hAnsi="Calibri"/>
                <w:sz w:val="22"/>
              </w:rPr>
              <w:t>ABF / ETF AUM</w:t>
            </w:r>
          </w:p>
        </w:tc>
        <w:tc>
          <w:tcPr>
            <w:tcW w:type="dxa" w:w="2160"/>
          </w:tcPr>
          <w:p>
            <w:r>
              <w:rPr>
                <w:rFonts w:ascii="Calibri" w:hAnsi="Calibri"/>
                <w:sz w:val="22"/>
              </w:rPr>
              <w:t>Record Q1 ETF inflows; management noted no client pullback from market volatility</w:t>
            </w:r>
          </w:p>
        </w:tc>
        <w:tc>
          <w:tcPr>
            <w:tcW w:type="dxa" w:w="2160"/>
          </w:tcPr>
          <w:p>
            <w:r>
              <w:rPr>
                <w:rFonts w:ascii="Calibri" w:hAnsi="Calibri"/>
                <w:sz w:val="22"/>
              </w:rPr>
              <w:t>Q2 consensus avg. AUM at $2.68T vs. Q1 actual $2.47T — implies continued strong inflows</w:t>
            </w:r>
          </w:p>
        </w:tc>
        <w:tc>
          <w:tcPr>
            <w:tcW w:type="dxa" w:w="2160"/>
          </w:tcPr>
          <w:p>
            <w:r>
              <w:rPr>
                <w:rFonts w:ascii="Calibri" w:hAnsi="Calibri"/>
                <w:sz w:val="22"/>
              </w:rPr>
              <w:t>Tracking Well</w:t>
            </w:r>
          </w:p>
        </w:tc>
      </w:tr>
      <w:tr>
        <w:tc>
          <w:tcPr>
            <w:tcW w:type="dxa" w:w="2160"/>
          </w:tcPr>
          <w:p>
            <w:r>
              <w:rPr>
                <w:rFonts w:ascii="Calibri" w:hAnsi="Calibri"/>
                <w:sz w:val="22"/>
              </w:rPr>
              <w:t>Private Assets</w:t>
            </w:r>
          </w:p>
        </w:tc>
        <w:tc>
          <w:tcPr>
            <w:tcW w:type="dxa" w:w="2160"/>
          </w:tcPr>
          <w:p>
            <w:r>
              <w:rPr>
                <w:rFonts w:ascii="Calibri" w:hAnsi="Calibri"/>
                <w:sz w:val="22"/>
              </w:rPr>
              <w:t>PCS run rate growth re-accelerating; Burgess integration largely complete</w:t>
            </w:r>
          </w:p>
        </w:tc>
        <w:tc>
          <w:tcPr>
            <w:tcW w:type="dxa" w:w="2160"/>
          </w:tcPr>
          <w:p>
            <w:r>
              <w:rPr>
                <w:rFonts w:ascii="Calibri" w:hAnsi="Calibri"/>
                <w:sz w:val="22"/>
              </w:rPr>
              <w:t>June 25 webinar: PCS showed 16% growth in recent quarter; infrastructure flagged as significant growth area</w:t>
            </w:r>
          </w:p>
        </w:tc>
        <w:tc>
          <w:tcPr>
            <w:tcW w:type="dxa" w:w="2160"/>
          </w:tcPr>
          <w:p>
            <w:r>
              <w:rPr>
                <w:rFonts w:ascii="Calibri" w:hAnsi="Calibri"/>
                <w:b/>
                <w:color w:val="30A46C"/>
                <w:sz w:val="22"/>
              </w:rPr>
              <w:t>Accelerating</w:t>
            </w:r>
          </w:p>
        </w:tc>
      </w:tr>
      <w:tr>
        <w:tc>
          <w:tcPr>
            <w:tcW w:type="dxa" w:w="2160"/>
          </w:tcPr>
          <w:p>
            <w:r>
              <w:rPr>
                <w:rFonts w:ascii="Calibri" w:hAnsi="Calibri"/>
                <w:sz w:val="22"/>
              </w:rPr>
              <w:t>AI Strategy</w:t>
            </w:r>
          </w:p>
        </w:tc>
        <w:tc>
          <w:tcPr>
            <w:tcW w:type="dxa" w:w="2160"/>
          </w:tcPr>
          <w:p>
            <w:r>
              <w:rPr>
                <w:rFonts w:ascii="Calibri" w:hAnsi="Calibri"/>
                <w:sz w:val="22"/>
              </w:rPr>
              <w:t>AI embedded in virtually every new product; agentic AI capabilities in development; Dinesh Gupta hired as CDO</w:t>
            </w:r>
          </w:p>
        </w:tc>
        <w:tc>
          <w:tcPr>
            <w:tcW w:type="dxa" w:w="2160"/>
          </w:tcPr>
          <w:p>
            <w:r>
              <w:rPr>
                <w:rFonts w:ascii="Calibri" w:hAnsi="Calibri"/>
                <w:sz w:val="22"/>
              </w:rPr>
              <w:t>No formal update; Moody's GenAI call (June 8) highlights sector-wide AI monetization tailwinds</w:t>
            </w:r>
          </w:p>
        </w:tc>
        <w:tc>
          <w:tcPr>
            <w:tcW w:type="dxa" w:w="2160"/>
          </w:tcPr>
          <w:p>
            <w:r>
              <w:rPr>
                <w:rFonts w:ascii="Calibri" w:hAnsi="Calibri"/>
                <w:sz w:val="22"/>
              </w:rPr>
              <w:t>Unchanged / Positive</w:t>
            </w:r>
          </w:p>
        </w:tc>
      </w:tr>
      <w:tr>
        <w:tc>
          <w:tcPr>
            <w:tcW w:type="dxa" w:w="2160"/>
          </w:tcPr>
          <w:p>
            <w:r>
              <w:rPr>
                <w:rFonts w:ascii="Calibri" w:hAnsi="Calibri"/>
                <w:sz w:val="22"/>
              </w:rPr>
              <w:t>Macro / Client Demand</w:t>
            </w:r>
          </w:p>
        </w:tc>
        <w:tc>
          <w:tcPr>
            <w:tcW w:type="dxa" w:w="2160"/>
          </w:tcPr>
          <w:p>
            <w:r>
              <w:rPr>
                <w:rFonts w:ascii="Calibri" w:hAnsi="Calibri"/>
                <w:sz w:val="22"/>
              </w:rPr>
              <w:t>No meaningful client pullback or deal delays from market volatility noted in Q1</w:t>
            </w:r>
          </w:p>
        </w:tc>
        <w:tc>
          <w:tcPr>
            <w:tcW w:type="dxa" w:w="2160"/>
          </w:tcPr>
          <w:p>
            <w:r>
              <w:rPr>
                <w:rFonts w:ascii="Calibri" w:hAnsi="Calibri"/>
                <w:sz w:val="22"/>
              </w:rPr>
              <w:t>FactSet Q3 FY2026 (Jul 1): organic ASV +4.5%; no macro-driven cancellations noted</w:t>
            </w:r>
          </w:p>
        </w:tc>
        <w:tc>
          <w:tcPr>
            <w:tcW w:type="dxa" w:w="2160"/>
          </w:tcPr>
          <w:p>
            <w:r>
              <w:rPr>
                <w:rFonts w:ascii="Calibri" w:hAnsi="Calibri"/>
                <w:sz w:val="22"/>
              </w:rPr>
              <w:t>Stable</w:t>
            </w:r>
          </w:p>
        </w:tc>
      </w:tr>
    </w:tbl>
    <w:p>
      <w:pPr>
        <w:pStyle w:val="Heading3"/>
      </w:pPr>
      <w:r>
        <w:rPr>
          <w:rFonts w:ascii="Calibri" w:hAnsi="Calibri"/>
          <w:b/>
          <w:color w:val="3B4259"/>
          <w:sz w:val="24"/>
        </w:rPr>
        <w:t>Management Tone Evolution</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Quarter</w:t>
            </w:r>
          </w:p>
        </w:tc>
        <w:tc>
          <w:tcPr>
            <w:tcW w:type="dxa" w:w="4320"/>
            <w:shd w:val="clear" w:color="auto" w:fill="3B4259"/>
          </w:tcPr>
          <w:p>
            <w:r>
              <w:rPr>
                <w:rFonts w:ascii="Calibri" w:hAnsi="Calibri"/>
                <w:b/>
                <w:color w:val="FFFFFF"/>
                <w:sz w:val="22"/>
              </w:rPr>
              <w:t>Tone / Key Quote</w:t>
            </w:r>
          </w:p>
        </w:tc>
      </w:tr>
      <w:tr>
        <w:tc>
          <w:tcPr>
            <w:tcW w:type="dxa" w:w="4320"/>
          </w:tcPr>
          <w:p>
            <w:r>
              <w:rPr>
                <w:rFonts w:ascii="Calibri" w:hAnsi="Calibri"/>
                <w:sz w:val="22"/>
              </w:rPr>
              <w:t>Q2 2025</w:t>
            </w:r>
          </w:p>
        </w:tc>
        <w:tc>
          <w:tcPr>
            <w:tcW w:type="dxa" w:w="4320"/>
          </w:tcPr>
          <w:p>
            <w:r>
              <w:rPr>
                <w:rFonts w:ascii="Calibri" w:hAnsi="Calibri"/>
                <w:sz w:val="22"/>
              </w:rPr>
              <w:t>Cautious — "Darkest before dawn"; acknowledged ongoing pressures in active asset manager segment</w:t>
            </w:r>
          </w:p>
        </w:tc>
      </w:tr>
      <w:tr>
        <w:tc>
          <w:tcPr>
            <w:tcW w:type="dxa" w:w="4320"/>
          </w:tcPr>
          <w:p>
            <w:r>
              <w:rPr>
                <w:rFonts w:ascii="Calibri" w:hAnsi="Calibri"/>
                <w:sz w:val="22"/>
              </w:rPr>
              <w:t>Q3 2025</w:t>
            </w:r>
          </w:p>
        </w:tc>
        <w:tc>
          <w:tcPr>
            <w:tcW w:type="dxa" w:w="4320"/>
          </w:tcPr>
          <w:p>
            <w:r>
              <w:rPr>
                <w:rFonts w:ascii="Calibri" w:hAnsi="Calibri"/>
                <w:sz w:val="22"/>
              </w:rPr>
              <w:t>Turning — "The dawn has arrived, turning the corner"; improving momentum across segments</w:t>
            </w:r>
          </w:p>
        </w:tc>
      </w:tr>
      <w:tr>
        <w:tc>
          <w:tcPr>
            <w:tcW w:type="dxa" w:w="4320"/>
          </w:tcPr>
          <w:p>
            <w:r>
              <w:rPr>
                <w:rFonts w:ascii="Calibri" w:hAnsi="Calibri"/>
                <w:sz w:val="22"/>
              </w:rPr>
              <w:t>Q4 2025</w:t>
            </w:r>
          </w:p>
        </w:tc>
        <w:tc>
          <w:tcPr>
            <w:tcW w:type="dxa" w:w="4320"/>
          </w:tcPr>
          <w:p>
            <w:r>
              <w:rPr>
                <w:rFonts w:ascii="Calibri" w:hAnsi="Calibri"/>
                <w:sz w:val="22"/>
              </w:rPr>
              <w:t>Optimistic — "Impressive momentum, pretty confident and encouraged"; record Q4 metrics</w:t>
            </w:r>
          </w:p>
        </w:tc>
      </w:tr>
      <w:tr>
        <w:tc>
          <w:tcPr>
            <w:tcW w:type="dxa" w:w="4320"/>
          </w:tcPr>
          <w:p>
            <w:r>
              <w:rPr>
                <w:rFonts w:ascii="Calibri" w:hAnsi="Calibri"/>
                <w:sz w:val="22"/>
              </w:rPr>
              <w:t>Q1 2026</w:t>
            </w:r>
          </w:p>
        </w:tc>
        <w:tc>
          <w:tcPr>
            <w:tcW w:type="dxa" w:w="4320"/>
          </w:tcPr>
          <w:p>
            <w:r>
              <w:rPr>
                <w:rFonts w:ascii="Calibri" w:hAnsi="Calibri"/>
                <w:sz w:val="22"/>
              </w:rPr>
              <w:t>Emphatic — "One of the strongest first quarters in our history"; "all-weather franchise"; outperformance attributed to internal execution, not improved end markets</w:t>
            </w:r>
          </w:p>
        </w:tc>
      </w:tr>
      <w:tr>
        <w:tc>
          <w:tcPr>
            <w:tcW w:type="dxa" w:w="4320"/>
          </w:tcPr>
          <w:p>
            <w:r>
              <w:rPr>
                <w:rFonts w:ascii="Calibri" w:hAnsi="Calibri"/>
                <w:sz w:val="22"/>
              </w:rPr>
              <w:t>Jun 25, 2026 (Private Assets Webinar)</w:t>
            </w:r>
          </w:p>
        </w:tc>
        <w:tc>
          <w:tcPr>
            <w:tcW w:type="dxa" w:w="4320"/>
          </w:tcPr>
          <w:p>
            <w:r>
              <w:rPr>
                <w:rFonts w:ascii="Calibri" w:hAnsi="Calibri"/>
                <w:sz w:val="22"/>
              </w:rPr>
              <w:t>Constructive — PCS 16% growth confirmed; infrastructure flagged as "very significant growth area"; AI-powered data ingestion at scale highlighted as key differentiator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Sell-side estimates have moved </w:t>
      </w:r>
      <w:r>
        <w:rPr>
          <w:rFonts w:ascii="Calibri" w:hAnsi="Calibri"/>
          <w:b/>
          <w:color w:val="525866"/>
          <w:sz w:val="22"/>
        </w:rPr>
        <w:t>upward since the Q1 2026 beat</w:t>
      </w:r>
      <w:r>
        <w:rPr>
          <w:rFonts w:ascii="Calibri" w:hAnsi="Calibri"/>
          <w:color w:val="525866"/>
          <w:sz w:val="22"/>
        </w:rPr>
        <w:t>, with Q2 2026 revenue consensus rising from ~$839M (pre-Q1 print) to ~$869M and EPS from ~$4.44 to ~$4.98. The revision trajectory is positive and consistent with management's bullish tone, though the magnitude of upward revision is modest — suggesting the street is not yet fully pricing in a repeat of Q1's blowout.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Pre-Q1 Earnings Consensus (Apr 21, 2026)</w:t>
            </w:r>
          </w:p>
        </w:tc>
        <w:tc>
          <w:tcPr>
            <w:tcW w:type="dxa" w:w="1440"/>
            <w:shd w:val="clear" w:color="auto" w:fill="3B4259"/>
          </w:tcPr>
          <w:p>
            <w:r>
              <w:rPr>
                <w:rFonts w:ascii="Calibri" w:hAnsi="Calibri"/>
                <w:b/>
                <w:color w:val="FFFFFF"/>
                <w:sz w:val="22"/>
              </w:rPr>
              <w:t>Current Q2 2026 Consensus (Jul 20, 2026)</w:t>
            </w:r>
          </w:p>
        </w:tc>
        <w:tc>
          <w:tcPr>
            <w:tcW w:type="dxa" w:w="1440"/>
            <w:shd w:val="clear" w:color="auto" w:fill="3B4259"/>
          </w:tcPr>
          <w:p>
            <w:r>
              <w:rPr>
                <w:rFonts w:ascii="Calibri" w:hAnsi="Calibri"/>
                <w:b/>
                <w:color w:val="FFFFFF"/>
                <w:sz w:val="22"/>
              </w:rPr>
              <w:t>Revision Direction</w:t>
            </w:r>
          </w:p>
        </w:tc>
        <w:tc>
          <w:tcPr>
            <w:tcW w:type="dxa" w:w="1440"/>
            <w:shd w:val="clear" w:color="auto" w:fill="3B4259"/>
          </w:tcPr>
          <w:p>
            <w:r>
              <w:rPr>
                <w:rFonts w:ascii="Calibri" w:hAnsi="Calibri"/>
                <w:b/>
                <w:color w:val="FFFFFF"/>
                <w:sz w:val="22"/>
              </w:rPr>
              <w:t>FY2026 Consensus</w:t>
            </w:r>
          </w:p>
        </w:tc>
        <w:tc>
          <w:tcPr>
            <w:tcW w:type="dxa" w:w="1440"/>
            <w:shd w:val="clear" w:color="auto" w:fill="3B4259"/>
          </w:tcPr>
          <w:p>
            <w:r>
              <w:rPr>
                <w:rFonts w:ascii="Calibri" w:hAnsi="Calibri"/>
                <w:b/>
                <w:color w:val="FFFFFF"/>
                <w:sz w:val="22"/>
              </w:rPr>
              <w:t>FY2027 Consensus</w:t>
            </w:r>
          </w:p>
        </w:tc>
      </w:tr>
      <w:tr>
        <w:tc>
          <w:tcPr>
            <w:tcW w:type="dxa" w:w="1440"/>
          </w:tcPr>
          <w:p>
            <w:r>
              <w:rPr>
                <w:rFonts w:ascii="Calibri" w:hAnsi="Calibri"/>
                <w:sz w:val="22"/>
              </w:rPr>
              <w:t>Operating Revenues ($M)</w:t>
            </w:r>
          </w:p>
        </w:tc>
        <w:tc>
          <w:tcPr>
            <w:tcW w:type="dxa" w:w="1440"/>
          </w:tcPr>
          <w:p>
            <w:r>
              <w:rPr>
                <w:rFonts w:ascii="Calibri" w:hAnsi="Calibri"/>
                <w:sz w:val="22"/>
              </w:rPr>
              <w:t>~$839.3 (Q1 cons.)</w:t>
            </w:r>
          </w:p>
        </w:tc>
        <w:tc>
          <w:tcPr>
            <w:tcW w:type="dxa" w:w="1440"/>
          </w:tcPr>
          <w:p>
            <w:r>
              <w:rPr>
                <w:rFonts w:ascii="Calibri" w:hAnsi="Calibri"/>
                <w:sz w:val="22"/>
              </w:rPr>
              <w:t>$869.4</w:t>
            </w:r>
          </w:p>
        </w:tc>
        <w:tc>
          <w:tcPr>
            <w:tcW w:type="dxa" w:w="1440"/>
          </w:tcPr>
          <w:p>
            <w:r>
              <w:rPr>
                <w:rFonts w:ascii="Calibri" w:hAnsi="Calibri"/>
                <w:b/>
                <w:color w:val="30A46C"/>
                <w:sz w:val="22"/>
              </w:rPr>
              <w:t>↑ Upward</w:t>
            </w:r>
          </w:p>
        </w:tc>
        <w:tc>
          <w:tcPr>
            <w:tcW w:type="dxa" w:w="1440"/>
          </w:tcPr>
          <w:p>
            <w:r>
              <w:rPr>
                <w:rFonts w:ascii="Calibri" w:hAnsi="Calibri"/>
                <w:sz w:val="22"/>
              </w:rPr>
              <w:t>$3,516M</w:t>
            </w:r>
          </w:p>
        </w:tc>
        <w:tc>
          <w:tcPr>
            <w:tcW w:type="dxa" w:w="1440"/>
          </w:tcPr>
          <w:p>
            <w:r>
              <w:rPr>
                <w:rFonts w:ascii="Calibri" w:hAnsi="Calibri"/>
                <w:sz w:val="22"/>
              </w:rPr>
              <w:t>$3,831M</w:t>
            </w:r>
          </w:p>
        </w:tc>
      </w:tr>
      <w:tr>
        <w:tc>
          <w:tcPr>
            <w:tcW w:type="dxa" w:w="1440"/>
          </w:tcPr>
          <w:p>
            <w:r>
              <w:rPr>
                <w:rFonts w:ascii="Calibri" w:hAnsi="Calibri"/>
                <w:sz w:val="22"/>
              </w:rPr>
              <w:t>Adj. EBITDA ($M)</w:t>
            </w:r>
          </w:p>
        </w:tc>
        <w:tc>
          <w:tcPr>
            <w:tcW w:type="dxa" w:w="1440"/>
          </w:tcPr>
          <w:p>
            <w:r>
              <w:rPr>
                <w:rFonts w:ascii="Calibri" w:hAnsi="Calibri"/>
                <w:sz w:val="22"/>
              </w:rPr>
              <w:t>~$494.4 (Q1 cons.)</w:t>
            </w:r>
          </w:p>
        </w:tc>
        <w:tc>
          <w:tcPr>
            <w:tcW w:type="dxa" w:w="1440"/>
          </w:tcPr>
          <w:p>
            <w:r>
              <w:rPr>
                <w:rFonts w:ascii="Calibri" w:hAnsi="Calibri"/>
                <w:sz w:val="22"/>
              </w:rPr>
              <w:t>$546.2</w:t>
            </w:r>
          </w:p>
        </w:tc>
        <w:tc>
          <w:tcPr>
            <w:tcW w:type="dxa" w:w="1440"/>
          </w:tcPr>
          <w:p>
            <w:r>
              <w:rPr>
                <w:rFonts w:ascii="Calibri" w:hAnsi="Calibri"/>
                <w:b/>
                <w:color w:val="30A46C"/>
                <w:sz w:val="22"/>
              </w:rPr>
              <w:t>↑ Upward</w:t>
            </w:r>
          </w:p>
        </w:tc>
        <w:tc>
          <w:tcPr>
            <w:tcW w:type="dxa" w:w="1440"/>
          </w:tcPr>
          <w:p>
            <w:r>
              <w:rPr>
                <w:rFonts w:ascii="Calibri" w:hAnsi="Calibri"/>
                <w:sz w:val="22"/>
              </w:rPr>
              <w:t>$2,187M</w:t>
            </w:r>
          </w:p>
        </w:tc>
        <w:tc>
          <w:tcPr>
            <w:tcW w:type="dxa" w:w="1440"/>
          </w:tcPr>
          <w:p>
            <w:r>
              <w:rPr>
                <w:rFonts w:ascii="Calibri" w:hAnsi="Calibri"/>
                <w:sz w:val="22"/>
              </w:rPr>
              <w:t>$2,408M</w:t>
            </w:r>
          </w:p>
        </w:tc>
      </w:tr>
      <w:tr>
        <w:tc>
          <w:tcPr>
            <w:tcW w:type="dxa" w:w="1440"/>
          </w:tcPr>
          <w:p>
            <w:r>
              <w:rPr>
                <w:rFonts w:ascii="Calibri" w:hAnsi="Calibri"/>
                <w:sz w:val="22"/>
              </w:rPr>
              <w:t>Adj. Diluted EPS</w:t>
            </w:r>
          </w:p>
        </w:tc>
        <w:tc>
          <w:tcPr>
            <w:tcW w:type="dxa" w:w="1440"/>
          </w:tcPr>
          <w:p>
            <w:r>
              <w:rPr>
                <w:rFonts w:ascii="Calibri" w:hAnsi="Calibri"/>
                <w:sz w:val="22"/>
              </w:rPr>
              <w:t>~$4.44 (Q1 cons.)</w:t>
            </w:r>
          </w:p>
        </w:tc>
        <w:tc>
          <w:tcPr>
            <w:tcW w:type="dxa" w:w="1440"/>
          </w:tcPr>
          <w:p>
            <w:r>
              <w:rPr>
                <w:rFonts w:ascii="Calibri" w:hAnsi="Calibri"/>
                <w:sz w:val="22"/>
              </w:rPr>
              <w:t>$4.98</w:t>
            </w:r>
          </w:p>
        </w:tc>
        <w:tc>
          <w:tcPr>
            <w:tcW w:type="dxa" w:w="1440"/>
          </w:tcPr>
          <w:p>
            <w:r>
              <w:rPr>
                <w:rFonts w:ascii="Calibri" w:hAnsi="Calibri"/>
                <w:b/>
                <w:color w:val="30A46C"/>
                <w:sz w:val="22"/>
              </w:rPr>
              <w:t>↑ Upward</w:t>
            </w:r>
          </w:p>
        </w:tc>
        <w:tc>
          <w:tcPr>
            <w:tcW w:type="dxa" w:w="1440"/>
          </w:tcPr>
          <w:p>
            <w:r>
              <w:rPr>
                <w:rFonts w:ascii="Calibri" w:hAnsi="Calibri"/>
                <w:sz w:val="22"/>
              </w:rPr>
              <w:t>$20.02</w:t>
            </w:r>
          </w:p>
        </w:tc>
        <w:tc>
          <w:tcPr>
            <w:tcW w:type="dxa" w:w="1440"/>
          </w:tcPr>
          <w:p>
            <w:r>
              <w:rPr>
                <w:rFonts w:ascii="Calibri" w:hAnsi="Calibri"/>
                <w:sz w:val="22"/>
              </w:rPr>
              <w:t>$23.01</w:t>
            </w:r>
          </w:p>
        </w:tc>
      </w:tr>
      <w:tr>
        <w:tc>
          <w:tcPr>
            <w:tcW w:type="dxa" w:w="1440"/>
          </w:tcPr>
          <w:p>
            <w:r>
              <w:rPr>
                <w:rFonts w:ascii="Calibri" w:hAnsi="Calibri"/>
                <w:sz w:val="22"/>
              </w:rPr>
              <w:t>Net New Recurring Sub. Sales ($M)</w:t>
            </w:r>
          </w:p>
        </w:tc>
        <w:tc>
          <w:tcPr>
            <w:tcW w:type="dxa" w:w="1440"/>
          </w:tcPr>
          <w:p>
            <w:r>
              <w:rPr>
                <w:rFonts w:ascii="Calibri" w:hAnsi="Calibri"/>
                <w:sz w:val="22"/>
              </w:rPr>
              <w:t>~$30.9 (Q1 cons.)</w:t>
            </w:r>
          </w:p>
        </w:tc>
        <w:tc>
          <w:tcPr>
            <w:tcW w:type="dxa" w:w="1440"/>
          </w:tcPr>
          <w:p>
            <w:r>
              <w:rPr>
                <w:rFonts w:ascii="Calibri" w:hAnsi="Calibri"/>
                <w:sz w:val="22"/>
              </w:rPr>
              <w:t>$52.7</w:t>
            </w:r>
          </w:p>
        </w:tc>
        <w:tc>
          <w:tcPr>
            <w:tcW w:type="dxa" w:w="1440"/>
          </w:tcPr>
          <w:p>
            <w:r>
              <w:rPr>
                <w:rFonts w:ascii="Calibri" w:hAnsi="Calibri"/>
                <w:b/>
                <w:color w:val="30A46C"/>
                <w:sz w:val="22"/>
              </w:rPr>
              <w:t>↑ Upward</w:t>
            </w:r>
          </w:p>
        </w:tc>
        <w:tc>
          <w:tcPr>
            <w:tcW w:type="dxa" w:w="1440"/>
          </w:tcPr>
          <w:p>
            <w:r>
              <w:rPr>
                <w:rFonts w:ascii="Calibri" w:hAnsi="Calibri"/>
                <w:sz w:val="22"/>
              </w:rPr>
              <w:t>$205M</w:t>
            </w:r>
          </w:p>
        </w:tc>
        <w:tc>
          <w:tcPr>
            <w:tcW w:type="dxa" w:w="1440"/>
          </w:tcPr>
          <w:p>
            <w:r>
              <w:rPr>
                <w:rFonts w:ascii="Calibri" w:hAnsi="Calibri"/>
                <w:sz w:val="22"/>
              </w:rPr>
              <w:t>$218M</w:t>
            </w:r>
          </w:p>
        </w:tc>
      </w:tr>
    </w:tbl>
    <w:p>
      <w:r>
        <w:rPr>
          <w:rFonts w:ascii="Calibri" w:hAnsi="Calibri"/>
          <w:i/>
          <w:color w:val="525866"/>
          <w:sz w:val="22"/>
        </w:rPr>
        <w:t>Source: Visible Alpha Consensus and Actuals Data. Pre-Q1 consensus figures represent Q1 2026 consensus as a proxy for the pre-print baseline. Current figures as of July 20, 2026.</w:t>
      </w:r>
    </w:p>
    <w:p>
      <w:r>
        <w:rPr>
          <w:rFonts w:ascii="Calibri" w:hAnsi="Calibri"/>
          <w:b/>
          <w:color w:val="525866"/>
          <w:sz w:val="22"/>
        </w:rPr>
        <w:t>Analyst Rating Actions Since Q1 Earnings:</w:t>
      </w:r>
    </w:p>
    <w:p>
      <w:pPr>
        <w:pStyle w:val="ListBullet"/>
        <w:ind w:left="360" w:hanging="360"/>
      </w:pPr>
      <w:r>
        <w:rPr>
          <w:rFonts w:ascii="Calibri" w:hAnsi="Calibri"/>
          <w:b/>
          <w:color w:val="525866"/>
          <w:sz w:val="22"/>
        </w:rPr>
        <w:t>Wells Fargo</w:t>
      </w:r>
      <w:r>
        <w:rPr>
          <w:rFonts w:ascii="Calibri" w:hAnsi="Calibri"/>
          <w:color w:val="525866"/>
          <w:sz w:val="22"/>
        </w:rPr>
        <w:t xml:space="preserve"> — Upgraded to Overweight (May 27, 2026); price target ~$690 at time of upgrade</w:t>
      </w:r>
    </w:p>
    <w:p>
      <w:pPr>
        <w:pStyle w:val="ListBullet"/>
        <w:ind w:left="360" w:hanging="360"/>
      </w:pPr>
      <w:r>
        <w:rPr>
          <w:rFonts w:ascii="Calibri" w:hAnsi="Calibri"/>
          <w:b/>
          <w:color w:val="525866"/>
          <w:sz w:val="22"/>
        </w:rPr>
        <w:t>Barclays</w:t>
      </w:r>
      <w:r>
        <w:rPr>
          <w:rFonts w:ascii="Calibri" w:hAnsi="Calibri"/>
          <w:color w:val="525866"/>
          <w:sz w:val="22"/>
        </w:rPr>
        <w:t xml:space="preserve"> — Maintained Buy; raised price target to $735 (July 10, 2026)</w:t>
      </w:r>
    </w:p>
    <w:p>
      <w:pPr>
        <w:pStyle w:val="ListBullet"/>
        <w:ind w:left="360" w:hanging="360"/>
      </w:pPr>
      <w:r>
        <w:rPr>
          <w:rFonts w:ascii="Calibri" w:hAnsi="Calibri"/>
          <w:b/>
          <w:color w:val="525866"/>
          <w:sz w:val="22"/>
        </w:rPr>
        <w:t>JPMorgan</w:t>
      </w:r>
      <w:r>
        <w:rPr>
          <w:rFonts w:ascii="Calibri" w:hAnsi="Calibri"/>
          <w:color w:val="525866"/>
          <w:sz w:val="22"/>
        </w:rPr>
        <w:t xml:space="preserve"> — Maintained Buy; raised price target to $742 (July 20, 2026)</w:t>
      </w:r>
    </w:p>
    <w:p>
      <w:pPr>
        <w:pStyle w:val="ListBullet"/>
        <w:ind w:left="360" w:hanging="360"/>
      </w:pPr>
      <w:r>
        <w:rPr>
          <w:rFonts w:ascii="Calibri" w:hAnsi="Calibri"/>
          <w:b/>
          <w:color w:val="525866"/>
          <w:sz w:val="22"/>
        </w:rPr>
        <w:t>Jefferies</w:t>
      </w:r>
      <w:r>
        <w:rPr>
          <w:rFonts w:ascii="Calibri" w:hAnsi="Calibri"/>
          <w:color w:val="525866"/>
          <w:sz w:val="22"/>
        </w:rPr>
        <w:t xml:space="preserve"> — Initiated at Buy with $760 price target (July 17, 2026)</w:t>
      </w:r>
    </w:p>
    <w:p>
      <w:pPr>
        <w:pStyle w:val="ListBullet"/>
        <w:ind w:left="360" w:hanging="360"/>
      </w:pPr>
      <w:r>
        <w:rPr>
          <w:rFonts w:ascii="Calibri" w:hAnsi="Calibri"/>
          <w:b/>
          <w:color w:val="525866"/>
          <w:sz w:val="22"/>
        </w:rPr>
        <w:t>RBC Capital</w:t>
      </w:r>
      <w:r>
        <w:rPr>
          <w:rFonts w:ascii="Calibri" w:hAnsi="Calibri"/>
          <w:color w:val="525866"/>
          <w:sz w:val="22"/>
        </w:rPr>
        <w:t xml:space="preserve"> — Maintained Buy; price target $655 (July 9, 2026)</w:t>
      </w:r>
    </w:p>
    <w:p>
      <w:pPr>
        <w:pStyle w:val="ListBullet"/>
        <w:ind w:left="360" w:hanging="360"/>
      </w:pPr>
      <w:r>
        <w:rPr>
          <w:rFonts w:ascii="Calibri" w:hAnsi="Calibri"/>
          <w:color w:val="525866"/>
          <w:sz w:val="22"/>
        </w:rPr>
        <w:t>Consensus average price target: ~$703–$714 (12–17 analysts); ~5 upgrades and 2 downgrades in last 90 days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MSCI has broadly tracked the S&amp;P 500 since Q1 earnings (+4.6% vs. SPY +5.4%), with a notable mid-June dip to ~$545 (likely macro/rate-driven) followed by a sharp recovery to ~$625 — suggesting the market is not pricing in a repeat blowout but is not pricing in a miss either. </w:t>
      </w:r>
      <w:r>
        <w:rPr>
          <w:rFonts w:ascii="Calibri" w:hAnsi="Calibri"/>
          <w:b/>
          <w:color w:val="525866"/>
          <w:sz w:val="22"/>
        </w:rPr>
        <w:t>FDS has outperformed (+6.4%) while SPGI has lagged (+0.8%)</w:t>
      </w:r>
      <w:r>
        <w:rPr>
          <w:rFonts w:ascii="Calibri" w:hAnsi="Calibri"/>
          <w:color w:val="525866"/>
          <w:sz w:val="22"/>
        </w:rPr>
        <w:t>, reflecting idiosyncratic dynamics in the financial data sector.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MSCI vs. SPGI, FDS &amp; S&amp;P 500 — Indexed to 100 at Q1 2026 Earnings (Apr 21, 2026). Source: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Ticker</w:t>
            </w:r>
          </w:p>
        </w:tc>
        <w:tc>
          <w:tcPr>
            <w:tcW w:type="dxa" w:w="1728"/>
            <w:shd w:val="clear" w:color="auto" w:fill="3B4259"/>
          </w:tcPr>
          <w:p>
            <w:r>
              <w:rPr>
                <w:rFonts w:ascii="Calibri" w:hAnsi="Calibri"/>
                <w:b/>
                <w:color w:val="FFFFFF"/>
                <w:sz w:val="22"/>
              </w:rPr>
              <w:t>Price at Q1 Earnings (Apr 21)</w:t>
            </w:r>
          </w:p>
        </w:tc>
        <w:tc>
          <w:tcPr>
            <w:tcW w:type="dxa" w:w="1728"/>
            <w:shd w:val="clear" w:color="auto" w:fill="3B4259"/>
          </w:tcPr>
          <w:p>
            <w:r>
              <w:rPr>
                <w:rFonts w:ascii="Calibri" w:hAnsi="Calibri"/>
                <w:b/>
                <w:color w:val="FFFFFF"/>
                <w:sz w:val="22"/>
              </w:rPr>
              <w:t>Price (Jul 20, 2026)</w:t>
            </w:r>
          </w:p>
        </w:tc>
        <w:tc>
          <w:tcPr>
            <w:tcW w:type="dxa" w:w="1728"/>
            <w:shd w:val="clear" w:color="auto" w:fill="3B4259"/>
          </w:tcPr>
          <w:p>
            <w:r>
              <w:rPr>
                <w:rFonts w:ascii="Calibri" w:hAnsi="Calibri"/>
                <w:b/>
                <w:color w:val="FFFFFF"/>
                <w:sz w:val="22"/>
              </w:rPr>
              <w:t>Return Since Q1 Earnings</w:t>
            </w:r>
          </w:p>
        </w:tc>
        <w:tc>
          <w:tcPr>
            <w:tcW w:type="dxa" w:w="1728"/>
            <w:shd w:val="clear" w:color="auto" w:fill="3B4259"/>
          </w:tcPr>
          <w:p>
            <w:r>
              <w:rPr>
                <w:rFonts w:ascii="Calibri" w:hAnsi="Calibri"/>
                <w:b/>
                <w:color w:val="FFFFFF"/>
                <w:sz w:val="22"/>
              </w:rPr>
              <w:t>52-Week Range (Approx.)</w:t>
            </w:r>
          </w:p>
        </w:tc>
      </w:tr>
      <w:tr>
        <w:tc>
          <w:tcPr>
            <w:tcW w:type="dxa" w:w="1728"/>
          </w:tcPr>
          <w:p>
            <w:r>
              <w:rPr>
                <w:rFonts w:ascii="Calibri" w:hAnsi="Calibri"/>
                <w:sz w:val="22"/>
              </w:rPr>
              <w:t>MSCI</w:t>
            </w:r>
          </w:p>
        </w:tc>
        <w:tc>
          <w:tcPr>
            <w:tcW w:type="dxa" w:w="1728"/>
          </w:tcPr>
          <w:p>
            <w:r>
              <w:rPr>
                <w:rFonts w:ascii="Calibri" w:hAnsi="Calibri"/>
                <w:sz w:val="22"/>
              </w:rPr>
              <w:t>$597.39</w:t>
            </w:r>
          </w:p>
        </w:tc>
        <w:tc>
          <w:tcPr>
            <w:tcW w:type="dxa" w:w="1728"/>
          </w:tcPr>
          <w:p>
            <w:r>
              <w:rPr>
                <w:rFonts w:ascii="Calibri" w:hAnsi="Calibri"/>
                <w:sz w:val="22"/>
              </w:rPr>
              <w:t>$625.11</w:t>
            </w:r>
          </w:p>
        </w:tc>
        <w:tc>
          <w:tcPr>
            <w:tcW w:type="dxa" w:w="1728"/>
          </w:tcPr>
          <w:p>
            <w:r>
              <w:rPr>
                <w:rFonts w:ascii="Calibri" w:hAnsi="Calibri"/>
                <w:b/>
                <w:color w:val="30A46C"/>
                <w:sz w:val="22"/>
              </w:rPr>
              <w:t>+4.6%</w:t>
            </w:r>
          </w:p>
        </w:tc>
        <w:tc>
          <w:tcPr>
            <w:tcW w:type="dxa" w:w="1728"/>
          </w:tcPr>
          <w:p>
            <w:r>
              <w:rPr>
                <w:rFonts w:ascii="Calibri" w:hAnsi="Calibri"/>
                <w:sz w:val="22"/>
              </w:rPr>
              <w:t>~$545 – $644</w:t>
            </w:r>
          </w:p>
        </w:tc>
      </w:tr>
      <w:tr>
        <w:tc>
          <w:tcPr>
            <w:tcW w:type="dxa" w:w="1728"/>
          </w:tcPr>
          <w:p>
            <w:r>
              <w:rPr>
                <w:rFonts w:ascii="Calibri" w:hAnsi="Calibri"/>
                <w:sz w:val="22"/>
              </w:rPr>
              <w:t>SPGI</w:t>
            </w:r>
          </w:p>
        </w:tc>
        <w:tc>
          <w:tcPr>
            <w:tcW w:type="dxa" w:w="1728"/>
          </w:tcPr>
          <w:p>
            <w:r>
              <w:rPr>
                <w:rFonts w:ascii="Calibri" w:hAnsi="Calibri"/>
                <w:sz w:val="22"/>
              </w:rPr>
              <w:t>$444.67</w:t>
            </w:r>
          </w:p>
        </w:tc>
        <w:tc>
          <w:tcPr>
            <w:tcW w:type="dxa" w:w="1728"/>
          </w:tcPr>
          <w:p>
            <w:r>
              <w:rPr>
                <w:rFonts w:ascii="Calibri" w:hAnsi="Calibri"/>
                <w:sz w:val="22"/>
              </w:rPr>
              <w:t>$448.35</w:t>
            </w:r>
          </w:p>
        </w:tc>
        <w:tc>
          <w:tcPr>
            <w:tcW w:type="dxa" w:w="1728"/>
          </w:tcPr>
          <w:p>
            <w:r>
              <w:rPr>
                <w:rFonts w:ascii="Calibri" w:hAnsi="Calibri"/>
                <w:sz w:val="22"/>
              </w:rPr>
              <w:t>+0.8%</w:t>
            </w:r>
          </w:p>
        </w:tc>
        <w:tc>
          <w:tcPr>
            <w:tcW w:type="dxa" w:w="1728"/>
          </w:tcPr>
          <w:p>
            <w:r>
              <w:rPr>
                <w:rFonts w:ascii="Calibri" w:hAnsi="Calibri"/>
                <w:sz w:val="22"/>
              </w:rPr>
              <w:t>~$395 – $458</w:t>
            </w:r>
          </w:p>
        </w:tc>
      </w:tr>
      <w:tr>
        <w:tc>
          <w:tcPr>
            <w:tcW w:type="dxa" w:w="1728"/>
          </w:tcPr>
          <w:p>
            <w:r>
              <w:rPr>
                <w:rFonts w:ascii="Calibri" w:hAnsi="Calibri"/>
                <w:sz w:val="22"/>
              </w:rPr>
              <w:t>FDS</w:t>
            </w:r>
          </w:p>
        </w:tc>
        <w:tc>
          <w:tcPr>
            <w:tcW w:type="dxa" w:w="1728"/>
          </w:tcPr>
          <w:p>
            <w:r>
              <w:rPr>
                <w:rFonts w:ascii="Calibri" w:hAnsi="Calibri"/>
                <w:sz w:val="22"/>
              </w:rPr>
              <w:t>$240.32</w:t>
            </w:r>
          </w:p>
        </w:tc>
        <w:tc>
          <w:tcPr>
            <w:tcW w:type="dxa" w:w="1728"/>
          </w:tcPr>
          <w:p>
            <w:r>
              <w:rPr>
                <w:rFonts w:ascii="Calibri" w:hAnsi="Calibri"/>
                <w:sz w:val="22"/>
              </w:rPr>
              <w:t>$255.79</w:t>
            </w:r>
          </w:p>
        </w:tc>
        <w:tc>
          <w:tcPr>
            <w:tcW w:type="dxa" w:w="1728"/>
          </w:tcPr>
          <w:p>
            <w:r>
              <w:rPr>
                <w:rFonts w:ascii="Calibri" w:hAnsi="Calibri"/>
                <w:b/>
                <w:color w:val="30A46C"/>
                <w:sz w:val="22"/>
              </w:rPr>
              <w:t>+6.4%</w:t>
            </w:r>
          </w:p>
        </w:tc>
        <w:tc>
          <w:tcPr>
            <w:tcW w:type="dxa" w:w="1728"/>
          </w:tcPr>
          <w:p>
            <w:r>
              <w:rPr>
                <w:rFonts w:ascii="Calibri" w:hAnsi="Calibri"/>
                <w:sz w:val="22"/>
              </w:rPr>
              <w:t>~$200 – $271</w:t>
            </w:r>
          </w:p>
        </w:tc>
      </w:tr>
      <w:tr>
        <w:tc>
          <w:tcPr>
            <w:tcW w:type="dxa" w:w="1728"/>
          </w:tcPr>
          <w:p>
            <w:r>
              <w:rPr>
                <w:rFonts w:ascii="Calibri" w:hAnsi="Calibri"/>
                <w:sz w:val="22"/>
              </w:rPr>
              <w:t>S&amp;P 500 (SPY)</w:t>
            </w:r>
          </w:p>
        </w:tc>
        <w:tc>
          <w:tcPr>
            <w:tcW w:type="dxa" w:w="1728"/>
          </w:tcPr>
          <w:p>
            <w:r>
              <w:rPr>
                <w:rFonts w:ascii="Calibri" w:hAnsi="Calibri"/>
                <w:sz w:val="22"/>
              </w:rPr>
              <w:t>$704.08</w:t>
            </w:r>
          </w:p>
        </w:tc>
        <w:tc>
          <w:tcPr>
            <w:tcW w:type="dxa" w:w="1728"/>
          </w:tcPr>
          <w:p>
            <w:r>
              <w:rPr>
                <w:rFonts w:ascii="Calibri" w:hAnsi="Calibri"/>
                <w:sz w:val="22"/>
              </w:rPr>
              <w:t>$742.09</w:t>
            </w:r>
          </w:p>
        </w:tc>
        <w:tc>
          <w:tcPr>
            <w:tcW w:type="dxa" w:w="1728"/>
          </w:tcPr>
          <w:p>
            <w:r>
              <w:rPr>
                <w:rFonts w:ascii="Calibri" w:hAnsi="Calibri"/>
                <w:b/>
                <w:color w:val="30A46C"/>
                <w:sz w:val="22"/>
              </w:rPr>
              <w:t>+5.4%</w:t>
            </w:r>
          </w:p>
        </w:tc>
        <w:tc>
          <w:tcPr>
            <w:tcW w:type="dxa" w:w="1728"/>
          </w:tcPr>
          <w:p>
            <w:r>
              <w:rPr>
                <w:rFonts w:ascii="Calibri" w:hAnsi="Calibri"/>
                <w:sz w:val="22"/>
              </w:rPr>
              <w:t>N/A</w:t>
            </w:r>
          </w:p>
        </w:tc>
      </w:tr>
    </w:tbl>
    <w:p>
      <w:r>
        <w:rPr>
          <w:rFonts w:ascii="Calibri" w:hAnsi="Calibri"/>
          <w:i/>
          <w:color w:val="525866"/>
          <w:sz w:val="22"/>
        </w:rPr>
        <w:t>Source: Stock Price Data. Returns calculated from April 21, 2026 close to July 20, 2026 close.</w:t>
      </w:r>
    </w:p>
    <w:p>
      <w:r>
        <w:rPr>
          <w:rFonts w:ascii="Calibri" w:hAnsi="Calibri"/>
          <w:b/>
          <w:color w:val="525866"/>
          <w:sz w:val="22"/>
        </w:rPr>
        <w:t>Key Price Events:</w:t>
      </w:r>
    </w:p>
    <w:p>
      <w:pPr>
        <w:pStyle w:val="ListBullet"/>
        <w:ind w:left="360" w:hanging="360"/>
      </w:pPr>
      <w:r>
        <w:rPr>
          <w:rFonts w:ascii="Calibri" w:hAnsi="Calibri"/>
          <w:b/>
          <w:color w:val="525866"/>
          <w:sz w:val="22"/>
        </w:rPr>
        <w:t>Apr 21, 2026:</w:t>
      </w:r>
      <w:r>
        <w:rPr>
          <w:rFonts w:ascii="Calibri" w:hAnsi="Calibri"/>
          <w:color w:val="525866"/>
          <w:sz w:val="22"/>
        </w:rPr>
        <w:t xml:space="preserve"> Q1 2026 earnings beat — stock opened at $597.39, rose to ~$608 the following session</w:t>
      </w:r>
    </w:p>
    <w:p>
      <w:pPr>
        <w:pStyle w:val="ListBullet"/>
        <w:ind w:left="360" w:hanging="360"/>
      </w:pPr>
      <w:r>
        <w:rPr>
          <w:rFonts w:ascii="Calibri" w:hAnsi="Calibri"/>
          <w:b/>
          <w:color w:val="525866"/>
          <w:sz w:val="22"/>
        </w:rPr>
        <w:t>May 27, 2026:</w:t>
      </w:r>
      <w:r>
        <w:rPr>
          <w:rFonts w:ascii="Calibri" w:hAnsi="Calibri"/>
          <w:color w:val="525866"/>
          <w:sz w:val="22"/>
        </w:rPr>
        <w:t xml:space="preserve"> Wells Fargo upgrade to Overweight; stock at ~$588 at time of upgrade</w:t>
      </w:r>
    </w:p>
    <w:p>
      <w:pPr>
        <w:pStyle w:val="ListBullet"/>
        <w:ind w:left="360" w:hanging="360"/>
      </w:pPr>
      <w:r>
        <w:rPr>
          <w:rFonts w:ascii="Calibri" w:hAnsi="Calibri"/>
          <w:b/>
          <w:color w:val="525866"/>
          <w:sz w:val="22"/>
        </w:rPr>
        <w:t>Jun 25, 2026:</w:t>
      </w:r>
      <w:r>
        <w:rPr>
          <w:rFonts w:ascii="Calibri" w:hAnsi="Calibri"/>
          <w:color w:val="525866"/>
          <w:sz w:val="22"/>
        </w:rPr>
        <w:t xml:space="preserve"> Private Assets Business Update Webinar; stock at ~$581 (near trough)</w:t>
      </w:r>
    </w:p>
    <w:p>
      <w:pPr>
        <w:pStyle w:val="ListBullet"/>
        <w:ind w:left="360" w:hanging="360"/>
      </w:pPr>
      <w:r>
        <w:rPr>
          <w:rFonts w:ascii="Calibri" w:hAnsi="Calibri"/>
          <w:b/>
          <w:color w:val="525866"/>
          <w:sz w:val="22"/>
        </w:rPr>
        <w:t>Jun 25 trough:</w:t>
      </w:r>
      <w:r>
        <w:rPr>
          <w:rFonts w:ascii="Calibri" w:hAnsi="Calibri"/>
          <w:color w:val="525866"/>
          <w:sz w:val="22"/>
        </w:rPr>
        <w:t xml:space="preserve"> MSCI hit ~$545 intraday low — likely macro/rate-driven; sharp recovery followed</w:t>
      </w:r>
    </w:p>
    <w:p>
      <w:pPr>
        <w:pStyle w:val="ListBullet"/>
        <w:ind w:left="360" w:hanging="360"/>
      </w:pPr>
      <w:r>
        <w:rPr>
          <w:rFonts w:ascii="Calibri" w:hAnsi="Calibri"/>
          <w:b/>
          <w:color w:val="525866"/>
          <w:sz w:val="22"/>
        </w:rPr>
        <w:t>Jul 8, 2026:</w:t>
      </w:r>
      <w:r>
        <w:rPr>
          <w:rFonts w:ascii="Calibri" w:hAnsi="Calibri"/>
          <w:color w:val="525866"/>
          <w:sz w:val="22"/>
        </w:rPr>
        <w:t xml:space="preserve"> Q2 2026 earnings call details announced; stock at ~$603</w:t>
      </w:r>
    </w:p>
    <w:p>
      <w:pPr>
        <w:pStyle w:val="ListBullet"/>
        <w:ind w:left="360" w:hanging="360"/>
      </w:pPr>
      <w:r>
        <w:rPr>
          <w:rFonts w:ascii="Calibri" w:hAnsi="Calibri"/>
          <w:b/>
          <w:color w:val="525866"/>
          <w:sz w:val="22"/>
        </w:rPr>
        <w:t>Jul 16–17, 2026:</w:t>
      </w:r>
      <w:r>
        <w:rPr>
          <w:rFonts w:ascii="Calibri" w:hAnsi="Calibri"/>
          <w:color w:val="525866"/>
          <w:sz w:val="22"/>
        </w:rPr>
        <w:t xml:space="preserve"> Jefferies initiation at Buy ($760 PT) and JPMorgan PT raise to $742; stock rallied to ~$637</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since MSCI's Q1 2026 earnings is broadly constructive for the Q2 print — </w:t>
      </w:r>
      <w:r>
        <w:rPr>
          <w:rFonts w:ascii="Calibri" w:hAnsi="Calibri"/>
          <w:b/>
          <w:color w:val="525866"/>
          <w:sz w:val="22"/>
        </w:rPr>
        <w:t>FactSet's Q3 FY2026 results (July 1) confirm no macro-driven cancellations and stable client demand</w:t>
      </w:r>
      <w:r>
        <w:rPr>
          <w:rFonts w:ascii="Calibri" w:hAnsi="Calibri"/>
          <w:color w:val="525866"/>
          <w:sz w:val="22"/>
        </w:rPr>
        <w:t>, while Moody's GenAI Strategy Call (June 8) highlights sector-wide AI monetization tailwinds that directly benefit MSCI's content licensing opportunity. MSCI's own Private Assets Webinar (June 25) provided the most direct Q2 read-through, confirming 16% PCS growth in the recent quarter.</w:t>
      </w:r>
    </w:p>
    <w:p>
      <w:pPr>
        <w:pStyle w:val="Heading3"/>
      </w:pPr>
      <w:r>
        <w:rPr>
          <w:rFonts w:ascii="Calibri" w:hAnsi="Calibri"/>
          <w:b/>
          <w:color w:val="3B4259"/>
          <w:sz w:val="24"/>
        </w:rPr>
        <w:t>6.1 FactSet Research Systems (FDS) — Q3 FY2026 Earnings (July 1, 2026)</w:t>
      </w:r>
    </w:p>
    <w:p>
      <w:r>
        <w:rPr>
          <w:rFonts w:ascii="Calibri" w:hAnsi="Calibri"/>
          <w:b/>
          <w:color w:val="525866"/>
          <w:sz w:val="22"/>
        </w:rPr>
        <w:t xml:space="preserve">Relevance to MSCI: </w:t>
      </w:r>
      <w:r>
        <w:rPr>
          <w:rFonts w:ascii="Calibri" w:hAnsi="Calibri"/>
          <w:color w:val="525866"/>
          <w:sz w:val="22"/>
        </w:rPr>
        <w:t>FactSet is MSCI's closest pure-play peer in financial data and analytics. Its Q3 FY2026 results (fiscal quarter ending May 31, 2026) provide the most direct read-through on client demand, pricing, and retention trends heading into MSCI's Q2 2026 print.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FactSet Commentary (Q3 FY2026, Jul 1, 2026)</w:t>
            </w:r>
          </w:p>
        </w:tc>
        <w:tc>
          <w:tcPr>
            <w:tcW w:type="dxa" w:w="2880"/>
            <w:shd w:val="clear" w:color="auto" w:fill="3B4259"/>
          </w:tcPr>
          <w:p>
            <w:r>
              <w:rPr>
                <w:rFonts w:ascii="Calibri" w:hAnsi="Calibri"/>
                <w:b/>
                <w:color w:val="FFFFFF"/>
                <w:sz w:val="22"/>
              </w:rPr>
              <w:t>MSCI Read-Through</w:t>
            </w:r>
          </w:p>
        </w:tc>
      </w:tr>
      <w:tr>
        <w:tc>
          <w:tcPr>
            <w:tcW w:type="dxa" w:w="2880"/>
          </w:tcPr>
          <w:p>
            <w:r>
              <w:rPr>
                <w:rFonts w:ascii="Calibri" w:hAnsi="Calibri"/>
                <w:sz w:val="22"/>
              </w:rPr>
              <w:t>Organic ASV Growth</w:t>
            </w:r>
          </w:p>
        </w:tc>
        <w:tc>
          <w:tcPr>
            <w:tcW w:type="dxa" w:w="2880"/>
          </w:tcPr>
          <w:p>
            <w:r>
              <w:rPr>
                <w:rFonts w:ascii="Calibri" w:hAnsi="Calibri"/>
                <w:sz w:val="22"/>
              </w:rPr>
              <w:t>Organic ASV +4.5% YoY; growth driven by wealth management and institutional buy-side; no macro-driven cancellations noted</w:t>
            </w:r>
          </w:p>
        </w:tc>
        <w:tc>
          <w:tcPr>
            <w:tcW w:type="dxa" w:w="2880"/>
          </w:tcPr>
          <w:p>
            <w:r>
              <w:rPr>
                <w:rFonts w:ascii="Calibri" w:hAnsi="Calibri"/>
                <w:b/>
                <w:color w:val="30A46C"/>
                <w:sz w:val="22"/>
              </w:rPr>
              <w:t>Positive — stable institutional demand environment supports MSCI subscription retention and net new sales</w:t>
            </w:r>
          </w:p>
        </w:tc>
      </w:tr>
      <w:tr>
        <w:tc>
          <w:tcPr>
            <w:tcW w:type="dxa" w:w="2880"/>
          </w:tcPr>
          <w:p>
            <w:r>
              <w:rPr>
                <w:rFonts w:ascii="Calibri" w:hAnsi="Calibri"/>
                <w:sz w:val="22"/>
              </w:rPr>
              <w:t>Client Retention</w:t>
            </w:r>
          </w:p>
        </w:tc>
        <w:tc>
          <w:tcPr>
            <w:tcW w:type="dxa" w:w="2880"/>
          </w:tcPr>
          <w:p>
            <w:r>
              <w:rPr>
                <w:rFonts w:ascii="Calibri" w:hAnsi="Calibri"/>
                <w:sz w:val="22"/>
              </w:rPr>
              <w:t>Retention rates stable; no unusual churn from market volatility or macro uncertainty</w:t>
            </w:r>
          </w:p>
        </w:tc>
        <w:tc>
          <w:tcPr>
            <w:tcW w:type="dxa" w:w="2880"/>
          </w:tcPr>
          <w:p>
            <w:r>
              <w:rPr>
                <w:rFonts w:ascii="Calibri" w:hAnsi="Calibri"/>
                <w:b/>
                <w:color w:val="30A46C"/>
                <w:sz w:val="22"/>
              </w:rPr>
              <w:t>Positive — MSCI's 95.4% Q1 retention likely sustained; consensus at 94.6% for Q2 looks achievable</w:t>
            </w:r>
          </w:p>
        </w:tc>
      </w:tr>
      <w:tr>
        <w:tc>
          <w:tcPr>
            <w:tcW w:type="dxa" w:w="2880"/>
          </w:tcPr>
          <w:p>
            <w:r>
              <w:rPr>
                <w:rFonts w:ascii="Calibri" w:hAnsi="Calibri"/>
                <w:sz w:val="22"/>
              </w:rPr>
              <w:t>AI / Data Demand</w:t>
            </w:r>
          </w:p>
        </w:tc>
        <w:tc>
          <w:tcPr>
            <w:tcW w:type="dxa" w:w="2880"/>
          </w:tcPr>
          <w:p>
            <w:r>
              <w:rPr>
                <w:rFonts w:ascii="Calibri" w:hAnsi="Calibri"/>
                <w:sz w:val="22"/>
              </w:rPr>
              <w:t>Clients increasingly seeking AI-ready data; FactSet investing in AI-powered workflows; no pricing headwinds from AI substitution</w:t>
            </w:r>
          </w:p>
        </w:tc>
        <w:tc>
          <w:tcPr>
            <w:tcW w:type="dxa" w:w="2880"/>
          </w:tcPr>
          <w:p>
            <w:r>
              <w:rPr>
                <w:rFonts w:ascii="Calibri" w:hAnsi="Calibri"/>
                <w:b/>
                <w:color w:val="30A46C"/>
                <w:sz w:val="22"/>
              </w:rPr>
              <w:t>Positive — MSCI's AI content licensing opportunity (clients using MSCI data for AI model training) is incremental, not cannibalistic</w:t>
            </w:r>
          </w:p>
        </w:tc>
      </w:tr>
      <w:tr>
        <w:tc>
          <w:tcPr>
            <w:tcW w:type="dxa" w:w="2880"/>
          </w:tcPr>
          <w:p>
            <w:r>
              <w:rPr>
                <w:rFonts w:ascii="Calibri" w:hAnsi="Calibri"/>
                <w:sz w:val="22"/>
              </w:rPr>
              <w:t>Pricing Power</w:t>
            </w:r>
          </w:p>
        </w:tc>
        <w:tc>
          <w:tcPr>
            <w:tcW w:type="dxa" w:w="2880"/>
          </w:tcPr>
          <w:p>
            <w:r>
              <w:rPr>
                <w:rFonts w:ascii="Calibri" w:hAnsi="Calibri"/>
                <w:sz w:val="22"/>
              </w:rPr>
              <w:t>Maintained pricing discipline; no evidence of competitive pressure forcing discounts</w:t>
            </w:r>
          </w:p>
        </w:tc>
        <w:tc>
          <w:tcPr>
            <w:tcW w:type="dxa" w:w="2880"/>
          </w:tcPr>
          <w:p>
            <w:r>
              <w:rPr>
                <w:rFonts w:ascii="Calibri" w:hAnsi="Calibri"/>
                <w:b/>
                <w:color w:val="30A46C"/>
                <w:sz w:val="22"/>
              </w:rPr>
              <w:t>Positive — MSCI's subscription pricing power intact; supports recurring revenue growth trajectory</w:t>
            </w:r>
          </w:p>
        </w:tc>
      </w:tr>
      <w:tr>
        <w:tc>
          <w:tcPr>
            <w:tcW w:type="dxa" w:w="2880"/>
          </w:tcPr>
          <w:p>
            <w:r>
              <w:rPr>
                <w:rFonts w:ascii="Calibri" w:hAnsi="Calibri"/>
                <w:sz w:val="22"/>
              </w:rPr>
              <w:t>Hedge Fund / Active Mgr. Demand</w:t>
            </w:r>
          </w:p>
        </w:tc>
        <w:tc>
          <w:tcPr>
            <w:tcW w:type="dxa" w:w="2880"/>
          </w:tcPr>
          <w:p>
            <w:r>
              <w:rPr>
                <w:rFonts w:ascii="Calibri" w:hAnsi="Calibri"/>
                <w:sz w:val="22"/>
              </w:rPr>
              <w:t>Hedge fund and systematic strategy clients remain active buyers; no pullback in analytics spend</w:t>
            </w:r>
          </w:p>
        </w:tc>
        <w:tc>
          <w:tcPr>
            <w:tcW w:type="dxa" w:w="2880"/>
          </w:tcPr>
          <w:p>
            <w:r>
              <w:rPr>
                <w:rFonts w:ascii="Calibri" w:hAnsi="Calibri"/>
                <w:b/>
                <w:color w:val="30A46C"/>
                <w:sz w:val="22"/>
              </w:rPr>
              <w:t>Positive — MSCI's highest-growth client segment (hedge funds, banks/broker-dealers) likely continued momentum in Q2</w:t>
            </w:r>
          </w:p>
        </w:tc>
      </w:tr>
    </w:tbl>
    <w:p>
      <w:r>
        <w:rPr>
          <w:rFonts w:ascii="Calibri" w:hAnsi="Calibri"/>
          <w:b/>
          <w:color w:val="525866"/>
          <w:sz w:val="22"/>
        </w:rPr>
        <w:t xml:space="preserve">Bottom Line (FDS Read-Through): </w:t>
      </w:r>
      <w:r>
        <w:rPr>
          <w:rFonts w:ascii="Calibri" w:hAnsi="Calibri"/>
          <w:color w:val="525866"/>
          <w:sz w:val="22"/>
        </w:rPr>
        <w:t>FactSet's Q3 FY2026 results are a clean positive read-through for MSCI. The absence of macro-driven cancellations, stable retention, and continued AI-driven data demand all support MSCI's Q2 subscription revenue and retention rate consensus. The hedge fund and systematic strategy demand signal is particularly relevant given MSCI has flagged this as its highest-growth client segment for multiple consecutive quarters.</w:t>
      </w:r>
    </w:p>
    <w:p>
      <w:pPr>
        <w:pStyle w:val="Heading3"/>
      </w:pPr>
      <w:r>
        <w:rPr>
          <w:rFonts w:ascii="Calibri" w:hAnsi="Calibri"/>
          <w:b/>
          <w:color w:val="3B4259"/>
          <w:sz w:val="24"/>
        </w:rPr>
        <w:t>6.2 Moody’s Corporation (MCO) — Generative AI Strategy Call (June 8, 2026)</w:t>
      </w:r>
    </w:p>
    <w:p>
      <w:r>
        <w:rPr>
          <w:rFonts w:ascii="Calibri" w:hAnsi="Calibri"/>
          <w:b/>
          <w:color w:val="525866"/>
          <w:sz w:val="22"/>
        </w:rPr>
        <w:t xml:space="preserve">Relevance to MSCI: </w:t>
      </w:r>
      <w:r>
        <w:rPr>
          <w:rFonts w:ascii="Calibri" w:hAnsi="Calibri"/>
          <w:color w:val="525866"/>
          <w:sz w:val="22"/>
        </w:rPr>
        <w:t>Moody's is a direct peer in financial data and analytics with significant overlap in institutional client base. Its June 8 GenAI Strategy Call provides sector-level read-through on AI monetization, enterprise data licensing, and client adoption trends that are directly relevant to MSCI's AI content licensing opportunity and product roadmap.</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Moody’s Commentary (GenAI Strategy Call, Jun 8, 2026)</w:t>
            </w:r>
          </w:p>
        </w:tc>
        <w:tc>
          <w:tcPr>
            <w:tcW w:type="dxa" w:w="2880"/>
            <w:shd w:val="clear" w:color="auto" w:fill="3B4259"/>
          </w:tcPr>
          <w:p>
            <w:r>
              <w:rPr>
                <w:rFonts w:ascii="Calibri" w:hAnsi="Calibri"/>
                <w:b/>
                <w:color w:val="FFFFFF"/>
                <w:sz w:val="22"/>
              </w:rPr>
              <w:t>MSCI Read-Through</w:t>
            </w:r>
          </w:p>
        </w:tc>
      </w:tr>
      <w:tr>
        <w:tc>
          <w:tcPr>
            <w:tcW w:type="dxa" w:w="2880"/>
          </w:tcPr>
          <w:p>
            <w:r>
              <w:rPr>
                <w:rFonts w:ascii="Calibri" w:hAnsi="Calibri"/>
                <w:sz w:val="22"/>
              </w:rPr>
              <w:t>Enterprise Data Licensing</w:t>
            </w:r>
          </w:p>
        </w:tc>
        <w:tc>
          <w:tcPr>
            <w:tcW w:type="dxa" w:w="2880"/>
          </w:tcPr>
          <w:p>
            <w:r>
              <w:rPr>
                <w:rFonts w:ascii="Calibri" w:hAnsi="Calibri"/>
                <w:sz w:val="22"/>
              </w:rPr>
              <w:t>Tier 1 institutions increasingly seeking enterprise licenses to use data "throughout the organization as opposed to in silos" — driving more consumption and higher contract values</w:t>
            </w:r>
          </w:p>
        </w:tc>
        <w:tc>
          <w:tcPr>
            <w:tcW w:type="dxa" w:w="2880"/>
          </w:tcPr>
          <w:p>
            <w:r>
              <w:rPr>
                <w:rFonts w:ascii="Calibri" w:hAnsi="Calibri"/>
                <w:b/>
                <w:color w:val="30A46C"/>
                <w:sz w:val="22"/>
              </w:rPr>
              <w:t>Positive — MSCI is actively developing licensing models for clients using MSCI content in AI-driven investment processes; enterprise license demand is a direct tailwind</w:t>
            </w:r>
          </w:p>
        </w:tc>
      </w:tr>
      <w:tr>
        <w:tc>
          <w:tcPr>
            <w:tcW w:type="dxa" w:w="2880"/>
          </w:tcPr>
          <w:p>
            <w:r>
              <w:rPr>
                <w:rFonts w:ascii="Calibri" w:hAnsi="Calibri"/>
                <w:sz w:val="22"/>
              </w:rPr>
              <w:t>AI Retention Effect</w:t>
            </w:r>
          </w:p>
        </w:tc>
        <w:tc>
          <w:tcPr>
            <w:tcW w:type="dxa" w:w="2880"/>
          </w:tcPr>
          <w:p>
            <w:r>
              <w:rPr>
                <w:rFonts w:ascii="Calibri" w:hAnsi="Calibri"/>
                <w:sz w:val="22"/>
              </w:rPr>
              <w:t>Clients using GenAI solutions show "higher retention" and "tend to consume more content" — AI adoption deepens commercial relationships rather than substituting for them</w:t>
            </w:r>
          </w:p>
        </w:tc>
        <w:tc>
          <w:tcPr>
            <w:tcW w:type="dxa" w:w="2880"/>
          </w:tcPr>
          <w:p>
            <w:r>
              <w:rPr>
                <w:rFonts w:ascii="Calibri" w:hAnsi="Calibri"/>
                <w:b/>
                <w:color w:val="30A46C"/>
                <w:sz w:val="22"/>
              </w:rPr>
              <w:t>Positive — MSCI's AI-embedded products (Basket Builder, Signal Library, ESG AI revamp) should drive similar retention and upsell dynamics</w:t>
            </w:r>
          </w:p>
        </w:tc>
      </w:tr>
      <w:tr>
        <w:tc>
          <w:tcPr>
            <w:tcW w:type="dxa" w:w="2880"/>
          </w:tcPr>
          <w:p>
            <w:r>
              <w:rPr>
                <w:rFonts w:ascii="Calibri" w:hAnsi="Calibri"/>
                <w:sz w:val="22"/>
              </w:rPr>
              <w:t>Pricing Model (Consumption)</w:t>
            </w:r>
          </w:p>
        </w:tc>
        <w:tc>
          <w:tcPr>
            <w:tcW w:type="dxa" w:w="2880"/>
          </w:tcPr>
          <w:p>
            <w:r>
              <w:rPr>
                <w:rFonts w:ascii="Calibri" w:hAnsi="Calibri"/>
                <w:sz w:val="22"/>
              </w:rPr>
              <w:t>Consumption pricing with guaranteed minimum base + overage; "volatility could really only be to the upside"; charging a premium for MCP/agentic access even to existing API customers</w:t>
            </w:r>
          </w:p>
        </w:tc>
        <w:tc>
          <w:tcPr>
            <w:tcW w:type="dxa" w:w="2880"/>
          </w:tcPr>
          <w:p>
            <w:r>
              <w:rPr>
                <w:rFonts w:ascii="Calibri" w:hAnsi="Calibri"/>
                <w:b/>
                <w:color w:val="30A46C"/>
                <w:sz w:val="22"/>
              </w:rPr>
              <w:t>Positive — MSCI's agentic AI capabilities (MCP server endpoints) position it to capture similar premium pricing; upside-only consumption model is sector-wide</w:t>
            </w:r>
          </w:p>
        </w:tc>
      </w:tr>
      <w:tr>
        <w:tc>
          <w:tcPr>
            <w:tcW w:type="dxa" w:w="2880"/>
          </w:tcPr>
          <w:p>
            <w:r>
              <w:rPr>
                <w:rFonts w:ascii="Calibri" w:hAnsi="Calibri"/>
                <w:sz w:val="22"/>
              </w:rPr>
              <w:t>New Buyer Personas</w:t>
            </w:r>
          </w:p>
        </w:tc>
        <w:tc>
          <w:tcPr>
            <w:tcW w:type="dxa" w:w="2880"/>
          </w:tcPr>
          <w:p>
            <w:r>
              <w:rPr>
                <w:rFonts w:ascii="Calibri" w:hAnsi="Calibri"/>
                <w:sz w:val="22"/>
              </w:rPr>
              <w:t>AI partnerships (AWS, Anthropic, Microsoft, OpenAI) enabling Moody's to reach "buyer personas we had never reached before" — incremental revenue, not substitution</w:t>
            </w:r>
          </w:p>
        </w:tc>
        <w:tc>
          <w:tcPr>
            <w:tcW w:type="dxa" w:w="2880"/>
          </w:tcPr>
          <w:p>
            <w:r>
              <w:rPr>
                <w:rFonts w:ascii="Calibri" w:hAnsi="Calibri"/>
                <w:b/>
                <w:color w:val="30A46C"/>
                <w:sz w:val="22"/>
              </w:rPr>
              <w:t>Positive — MSCI's AI partnerships and agentic capabilities similarly expand addressable market beyond traditional asset manager clients</w:t>
            </w:r>
          </w:p>
        </w:tc>
      </w:tr>
      <w:tr>
        <w:tc>
          <w:tcPr>
            <w:tcW w:type="dxa" w:w="2880"/>
          </w:tcPr>
          <w:p>
            <w:r>
              <w:rPr>
                <w:rFonts w:ascii="Calibri" w:hAnsi="Calibri"/>
                <w:sz w:val="22"/>
              </w:rPr>
              <w:t>Token Cost Management</w:t>
            </w:r>
          </w:p>
        </w:tc>
        <w:tc>
          <w:tcPr>
            <w:tcW w:type="dxa" w:w="2880"/>
          </w:tcPr>
          <w:p>
            <w:r>
              <w:rPr>
                <w:rFonts w:ascii="Calibri" w:hAnsi="Calibri"/>
                <w:sz w:val="22"/>
              </w:rPr>
              <w:t>Moody's actively managing token costs; "necessary buffers built in"; model selection lever used to control costs; comfortable with current margins</w:t>
            </w:r>
          </w:p>
        </w:tc>
        <w:tc>
          <w:tcPr>
            <w:tcW w:type="dxa" w:w="2880"/>
          </w:tcPr>
          <w:p>
            <w:r>
              <w:rPr>
                <w:rFonts w:ascii="Calibri" w:hAnsi="Calibri"/>
                <w:sz w:val="22"/>
              </w:rPr>
              <w:t>Neutral — MSCI faces similar token cost dynamics; management has not flagged this as a margin headwind, consistent with Moody's experience</w:t>
            </w:r>
          </w:p>
        </w:tc>
      </w:tr>
    </w:tbl>
    <w:p>
      <w:r>
        <w:rPr>
          <w:rFonts w:ascii="Calibri" w:hAnsi="Calibri"/>
          <w:b/>
          <w:color w:val="525866"/>
          <w:sz w:val="22"/>
        </w:rPr>
        <w:t xml:space="preserve">Bottom Line (MCO Read-Through): </w:t>
      </w:r>
      <w:r>
        <w:rPr>
          <w:rFonts w:ascii="Calibri" w:hAnsi="Calibri"/>
          <w:color w:val="525866"/>
          <w:sz w:val="22"/>
        </w:rPr>
        <w:t>Moody's GenAI Strategy Call is a strong positive read-through for MSCI's AI monetization narrative. The enterprise license demand trend, AI-driven retention uplift, and consumption pricing model all validate MSCI's strategic direction. Critically, Moody's observation that AI adoption is "incremental revenue, not substitution" directly counters the bear case that AI could cannibalize MSCI's traditional data licensing business.</w:t>
      </w:r>
    </w:p>
    <w:p>
      <w:pPr>
        <w:pStyle w:val="Heading3"/>
      </w:pPr>
      <w:r>
        <w:rPr>
          <w:rFonts w:ascii="Calibri" w:hAnsi="Calibri"/>
          <w:b/>
          <w:color w:val="3B4259"/>
          <w:sz w:val="24"/>
        </w:rPr>
        <w:t>6.3 MSCI Private Assets Business Update Webinar (June 25, 2026)</w:t>
      </w:r>
    </w:p>
    <w:p>
      <w:r>
        <w:rPr>
          <w:rFonts w:ascii="Calibri" w:hAnsi="Calibri"/>
          <w:b/>
          <w:color w:val="525866"/>
          <w:sz w:val="22"/>
        </w:rPr>
        <w:t xml:space="preserve">Relevance to MSCI: </w:t>
      </w:r>
      <w:r>
        <w:rPr>
          <w:rFonts w:ascii="Calibri" w:hAnsi="Calibri"/>
          <w:color w:val="525866"/>
          <w:sz w:val="22"/>
        </w:rPr>
        <w:t>This is a direct Q2 2026 read-through from MSCI management itself. The webinar, hosted by Luke Flemmer (Head of Private Assets), provided the most explicit forward-looking commentary on the Private Assets segment heading into Q2 earnings.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Key Commentary (Jun 25, 2026)</w:t>
            </w:r>
          </w:p>
        </w:tc>
        <w:tc>
          <w:tcPr>
            <w:tcW w:type="dxa" w:w="2880"/>
            <w:shd w:val="clear" w:color="auto" w:fill="3B4259"/>
          </w:tcPr>
          <w:p>
            <w:r>
              <w:rPr>
                <w:rFonts w:ascii="Calibri" w:hAnsi="Calibri"/>
                <w:b/>
                <w:color w:val="FFFFFF"/>
                <w:sz w:val="22"/>
              </w:rPr>
              <w:t>Q2 Implication</w:t>
            </w:r>
          </w:p>
        </w:tc>
      </w:tr>
      <w:tr>
        <w:tc>
          <w:tcPr>
            <w:tcW w:type="dxa" w:w="2880"/>
          </w:tcPr>
          <w:p>
            <w:r>
              <w:rPr>
                <w:rFonts w:ascii="Calibri" w:hAnsi="Calibri"/>
                <w:sz w:val="22"/>
              </w:rPr>
              <w:t>PCS Run Rate Growth</w:t>
            </w:r>
          </w:p>
        </w:tc>
        <w:tc>
          <w:tcPr>
            <w:tcW w:type="dxa" w:w="2880"/>
          </w:tcPr>
          <w:p>
            <w:r>
              <w:rPr>
                <w:rFonts w:ascii="Calibri" w:hAnsi="Calibri"/>
                <w:sz w:val="22"/>
              </w:rPr>
              <w:t>"16% growth in the recent quarter" explicitly confirmed for Private Capital Solutions</w:t>
            </w:r>
          </w:p>
        </w:tc>
        <w:tc>
          <w:tcPr>
            <w:tcW w:type="dxa" w:w="2880"/>
          </w:tcPr>
          <w:p>
            <w:r>
              <w:rPr>
                <w:rFonts w:ascii="Calibri" w:hAnsi="Calibri"/>
                <w:b/>
                <w:color w:val="30A46C"/>
                <w:sz w:val="22"/>
              </w:rPr>
              <w:t>Direct positive — PCS growth re-acceleration is a key driver of total run rate upside vs. consensus</w:t>
            </w:r>
          </w:p>
        </w:tc>
      </w:tr>
      <w:tr>
        <w:tc>
          <w:tcPr>
            <w:tcW w:type="dxa" w:w="2880"/>
          </w:tcPr>
          <w:p>
            <w:r>
              <w:rPr>
                <w:rFonts w:ascii="Calibri" w:hAnsi="Calibri"/>
                <w:sz w:val="22"/>
              </w:rPr>
              <w:t>Real Assets Outlook</w:t>
            </w:r>
          </w:p>
        </w:tc>
        <w:tc>
          <w:tcPr>
            <w:tcW w:type="dxa" w:w="2880"/>
          </w:tcPr>
          <w:p>
            <w:r>
              <w:rPr>
                <w:rFonts w:ascii="Calibri" w:hAnsi="Calibri"/>
                <w:sz w:val="22"/>
              </w:rPr>
              <w:t>Industry in "secular slump" from 2022 rate hikes and CBD dislocation; but growth shifting to opportunistic/value-add and infrastructure; data centers as new growth vertical</w:t>
            </w:r>
          </w:p>
        </w:tc>
        <w:tc>
          <w:tcPr>
            <w:tcW w:type="dxa" w:w="2880"/>
          </w:tcPr>
          <w:p>
            <w:r>
              <w:rPr>
                <w:rFonts w:ascii="Calibri" w:hAnsi="Calibri"/>
                <w:sz w:val="22"/>
              </w:rPr>
              <w:t>Mixed — Real Assets headwinds persist but new verticals (infrastructure, data centers) provide incremental growth; net neutral to slightly positive for Q2</w:t>
            </w:r>
          </w:p>
        </w:tc>
      </w:tr>
      <w:tr>
        <w:tc>
          <w:tcPr>
            <w:tcW w:type="dxa" w:w="2880"/>
          </w:tcPr>
          <w:p>
            <w:r>
              <w:rPr>
                <w:rFonts w:ascii="Calibri" w:hAnsi="Calibri"/>
                <w:sz w:val="22"/>
              </w:rPr>
              <w:t>Infrastructure</w:t>
            </w:r>
          </w:p>
        </w:tc>
        <w:tc>
          <w:tcPr>
            <w:tcW w:type="dxa" w:w="2880"/>
          </w:tcPr>
          <w:p>
            <w:r>
              <w:rPr>
                <w:rFonts w:ascii="Calibri" w:hAnsi="Calibri"/>
                <w:sz w:val="22"/>
              </w:rPr>
              <w:t>"Very significant growth area"; MSCI expects to grow infrastructure footprint "quite significantly"; established global infrastructure index as foundation</w:t>
            </w:r>
          </w:p>
        </w:tc>
        <w:tc>
          <w:tcPr>
            <w:tcW w:type="dxa" w:w="2880"/>
          </w:tcPr>
          <w:p>
            <w:r>
              <w:rPr>
                <w:rFonts w:ascii="Calibri" w:hAnsi="Calibri"/>
                <w:b/>
                <w:color w:val="30A46C"/>
                <w:sz w:val="22"/>
              </w:rPr>
              <w:t>Positive medium-term — infrastructure is a multi-year growth driver; limited Q2 impact but positive for FY2026 and FY2027 estimates</w:t>
            </w:r>
          </w:p>
        </w:tc>
      </w:tr>
      <w:tr>
        <w:tc>
          <w:tcPr>
            <w:tcW w:type="dxa" w:w="2880"/>
          </w:tcPr>
          <w:p>
            <w:r>
              <w:rPr>
                <w:rFonts w:ascii="Calibri" w:hAnsi="Calibri"/>
                <w:sz w:val="22"/>
              </w:rPr>
              <w:t>AI in Private Assets</w:t>
            </w:r>
          </w:p>
        </w:tc>
        <w:tc>
          <w:tcPr>
            <w:tcW w:type="dxa" w:w="2880"/>
          </w:tcPr>
          <w:p>
            <w:r>
              <w:rPr>
                <w:rFonts w:ascii="Calibri" w:hAnsi="Calibri"/>
                <w:sz w:val="22"/>
              </w:rPr>
              <w:t>AI-powered data ingestion processing "3-4 million documents a year from ~7,000 managers"; Vantage AI engine converting unstructured private asset documents to structured data at scale</w:t>
            </w:r>
          </w:p>
        </w:tc>
        <w:tc>
          <w:tcPr>
            <w:tcW w:type="dxa" w:w="2880"/>
          </w:tcPr>
          <w:p>
            <w:r>
              <w:rPr>
                <w:rFonts w:ascii="Calibri" w:hAnsi="Calibri"/>
                <w:b/>
                <w:color w:val="30A46C"/>
                <w:sz w:val="22"/>
              </w:rPr>
              <w:t>Positive — AI-driven scalability in PCS reduces cost-to-serve and enables faster product launches; supports margin expansion narrative</w:t>
            </w:r>
          </w:p>
        </w:tc>
      </w:tr>
      <w:tr>
        <w:tc>
          <w:tcPr>
            <w:tcW w:type="dxa" w:w="2880"/>
          </w:tcPr>
          <w:p>
            <w:r>
              <w:rPr>
                <w:rFonts w:ascii="Calibri" w:hAnsi="Calibri"/>
                <w:sz w:val="22"/>
              </w:rPr>
              <w:t>Total Portfolio Vision</w:t>
            </w:r>
          </w:p>
        </w:tc>
        <w:tc>
          <w:tcPr>
            <w:tcW w:type="dxa" w:w="2880"/>
          </w:tcPr>
          <w:p>
            <w:r>
              <w:rPr>
                <w:rFonts w:ascii="Calibri" w:hAnsi="Calibri"/>
                <w:sz w:val="22"/>
              </w:rPr>
              <w:t>"Unified view across public/private assets, strategies, geographies" — private markets have grown faster than underlying infrastructure; MSCI positioned as the connective tissue</w:t>
            </w:r>
          </w:p>
        </w:tc>
        <w:tc>
          <w:tcPr>
            <w:tcW w:type="dxa" w:w="2880"/>
          </w:tcPr>
          <w:p>
            <w:r>
              <w:rPr>
                <w:rFonts w:ascii="Calibri" w:hAnsi="Calibri"/>
                <w:b/>
                <w:color w:val="30A46C"/>
                <w:sz w:val="22"/>
              </w:rPr>
              <w:t>Positive medium-term — total portfolio solution is a multi-year revenue opportunity; validates MSCI's cross-sell strategy across Index, Analytics, and Private Assets</w:t>
            </w:r>
          </w:p>
        </w:tc>
      </w:tr>
    </w:tbl>
    <w:p>
      <w:r>
        <w:rPr>
          <w:rFonts w:ascii="Calibri" w:hAnsi="Calibri"/>
          <w:b/>
          <w:color w:val="525866"/>
          <w:sz w:val="22"/>
        </w:rPr>
        <w:t xml:space="preserve">Bottom Line (Private Assets Webinar Read-Through): </w:t>
      </w:r>
      <w:r>
        <w:rPr>
          <w:rFonts w:ascii="Calibri" w:hAnsi="Calibri"/>
          <w:color w:val="525866"/>
          <w:sz w:val="22"/>
        </w:rPr>
        <w:t>The June 25 webinar is the most direct Q2 data point available. The explicit confirmation of 16% PCS growth is a meaningful positive for the Private Assets run rate line, which consensus has at a modest growth rate. Infrastructure and data center verticals represent incremental upside to FY2026/2027 estimates that the street may not yet fully model. The AI-powered data ingestion capability is a structural margin tailwind that supports MSCI's EBITDA margin expansion story.</w:t>
      </w:r>
    </w:p>
    <w:p>
      <w:pPr>
        <w:pStyle w:val="Heading3"/>
      </w:pPr>
      <w:r>
        <w:rPr>
          <w:rFonts w:ascii="Calibri" w:hAnsi="Calibri"/>
          <w:b/>
          <w:color w:val="3B4259"/>
          <w:sz w:val="24"/>
        </w:rPr>
        <w:t>6.4 S&amp;P Global (SPGI) — Investor Day (May 12, 2026)</w:t>
      </w:r>
    </w:p>
    <w:p>
      <w:r>
        <w:rPr>
          <w:rFonts w:ascii="Calibri" w:hAnsi="Calibri"/>
          <w:b/>
          <w:color w:val="525866"/>
          <w:sz w:val="22"/>
        </w:rPr>
        <w:t xml:space="preserve">Relevance to MSCI: </w:t>
      </w:r>
      <w:r>
        <w:rPr>
          <w:rFonts w:ascii="Calibri" w:hAnsi="Calibri"/>
          <w:color w:val="525866"/>
          <w:sz w:val="22"/>
        </w:rPr>
        <w:t>S&amp;P Global is MSCI's largest peer in financial data and indices. Its May 12 Investor Day provided medium-term strategic commentary on the financial data sector, AI integration, and ESG/sustainability trends.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SPGI Commentary (Investor Day, May 12, 2026)</w:t>
            </w:r>
          </w:p>
        </w:tc>
        <w:tc>
          <w:tcPr>
            <w:tcW w:type="dxa" w:w="2880"/>
            <w:shd w:val="clear" w:color="auto" w:fill="3B4259"/>
          </w:tcPr>
          <w:p>
            <w:r>
              <w:rPr>
                <w:rFonts w:ascii="Calibri" w:hAnsi="Calibri"/>
                <w:b/>
                <w:color w:val="FFFFFF"/>
                <w:sz w:val="22"/>
              </w:rPr>
              <w:t>MSCI Read-Through</w:t>
            </w:r>
          </w:p>
        </w:tc>
      </w:tr>
      <w:tr>
        <w:tc>
          <w:tcPr>
            <w:tcW w:type="dxa" w:w="2880"/>
          </w:tcPr>
          <w:p>
            <w:r>
              <w:rPr>
                <w:rFonts w:ascii="Calibri" w:hAnsi="Calibri"/>
                <w:sz w:val="22"/>
              </w:rPr>
              <w:t>AI Integration</w:t>
            </w:r>
          </w:p>
        </w:tc>
        <w:tc>
          <w:tcPr>
            <w:tcW w:type="dxa" w:w="2880"/>
          </w:tcPr>
          <w:p>
            <w:r>
              <w:rPr>
                <w:rFonts w:ascii="Calibri" w:hAnsi="Calibri"/>
                <w:sz w:val="22"/>
              </w:rPr>
              <w:t>AI embedded across product lines; focus on workflow automation and client-facing AI tools; no margin headwinds from AI investment flagged</w:t>
            </w:r>
          </w:p>
        </w:tc>
        <w:tc>
          <w:tcPr>
            <w:tcW w:type="dxa" w:w="2880"/>
          </w:tcPr>
          <w:p>
            <w:r>
              <w:rPr>
                <w:rFonts w:ascii="Calibri" w:hAnsi="Calibri"/>
                <w:b/>
                <w:color w:val="30A46C"/>
                <w:sz w:val="22"/>
              </w:rPr>
              <w:t>Positive — sector-wide AI investment is not compressing margins; validates MSCI's AI-as-efficiency-driver narrative</w:t>
            </w:r>
          </w:p>
        </w:tc>
      </w:tr>
      <w:tr>
        <w:tc>
          <w:tcPr>
            <w:tcW w:type="dxa" w:w="2880"/>
          </w:tcPr>
          <w:p>
            <w:r>
              <w:rPr>
                <w:rFonts w:ascii="Calibri" w:hAnsi="Calibri"/>
                <w:sz w:val="22"/>
              </w:rPr>
              <w:t>ESG / Sustainability</w:t>
            </w:r>
          </w:p>
        </w:tc>
        <w:tc>
          <w:tcPr>
            <w:tcW w:type="dxa" w:w="2880"/>
          </w:tcPr>
          <w:p>
            <w:r>
              <w:rPr>
                <w:rFonts w:ascii="Calibri" w:hAnsi="Calibri"/>
                <w:sz w:val="22"/>
              </w:rPr>
              <w:t>ESG demand stabilizing after 2024 headwinds; carbon markets and renewable energy credits emerging as new data verticals</w:t>
            </w:r>
          </w:p>
        </w:tc>
        <w:tc>
          <w:tcPr>
            <w:tcW w:type="dxa" w:w="2880"/>
          </w:tcPr>
          <w:p>
            <w:r>
              <w:rPr>
                <w:rFonts w:ascii="Calibri" w:hAnsi="Calibri"/>
                <w:sz w:val="22"/>
              </w:rPr>
              <w:t>Neutral-to-positive — MSCI's ESG &amp; Climate segment has faced headwinds; SPGI's stabilization commentary suggests the worst may be behind for the sector</w:t>
            </w:r>
          </w:p>
        </w:tc>
      </w:tr>
      <w:tr>
        <w:tc>
          <w:tcPr>
            <w:tcW w:type="dxa" w:w="2880"/>
          </w:tcPr>
          <w:p>
            <w:r>
              <w:rPr>
                <w:rFonts w:ascii="Calibri" w:hAnsi="Calibri"/>
                <w:sz w:val="22"/>
              </w:rPr>
              <w:t>Index / Passive Investing</w:t>
            </w:r>
          </w:p>
        </w:tc>
        <w:tc>
          <w:tcPr>
            <w:tcW w:type="dxa" w:w="2880"/>
          </w:tcPr>
          <w:p>
            <w:r>
              <w:rPr>
                <w:rFonts w:ascii="Calibri" w:hAnsi="Calibri"/>
                <w:sz w:val="22"/>
              </w:rPr>
              <w:t>Passive investing secular growth continues; ETF proliferation driving index licensing demand; no signs of slowdown</w:t>
            </w:r>
          </w:p>
        </w:tc>
        <w:tc>
          <w:tcPr>
            <w:tcW w:type="dxa" w:w="2880"/>
          </w:tcPr>
          <w:p>
            <w:r>
              <w:rPr>
                <w:rFonts w:ascii="Calibri" w:hAnsi="Calibri"/>
                <w:b/>
                <w:color w:val="30A46C"/>
                <w:sz w:val="22"/>
              </w:rPr>
              <w:t>Positive — directly validates MSCI's ABF/ETF AUM growth thesis; passive investing tailwind is durable</w:t>
            </w:r>
          </w:p>
        </w:tc>
      </w:tr>
    </w:tbl>
    <w:p>
      <w:r>
        <w:rPr>
          <w:rFonts w:ascii="Calibri" w:hAnsi="Calibri"/>
          <w:b/>
          <w:color w:val="525866"/>
          <w:sz w:val="22"/>
        </w:rPr>
        <w:t xml:space="preserve">Bottom Line (SPGI Read-Through): </w:t>
      </w:r>
      <w:r>
        <w:rPr>
          <w:rFonts w:ascii="Calibri" w:hAnsi="Calibri"/>
          <w:color w:val="525866"/>
          <w:sz w:val="22"/>
        </w:rPr>
        <w:t>SPGI's Investor Day reinforces the secular tailwinds underpinning MSCI's core Index and ESG businesses. The passive investing growth confirmation is the most directly relevant signal for MSCI's ABF revenue line. ESG stabilization is a modest positive for MSCI's ESG &amp; Climate segment, which has been a drag on overall run rate growth.</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Overall Signal</w:t>
            </w:r>
          </w:p>
        </w:tc>
        <w:tc>
          <w:tcPr>
            <w:tcW w:type="dxa" w:w="1728"/>
            <w:shd w:val="clear" w:color="auto" w:fill="3B4259"/>
          </w:tcPr>
          <w:p>
            <w:r>
              <w:rPr>
                <w:rFonts w:ascii="Calibri" w:hAnsi="Calibri"/>
                <w:b/>
                <w:color w:val="FFFFFF"/>
                <w:sz w:val="22"/>
              </w:rPr>
              <w:t>Most Relevant MSCI KPI</w:t>
            </w:r>
          </w:p>
        </w:tc>
      </w:tr>
      <w:tr>
        <w:tc>
          <w:tcPr>
            <w:tcW w:type="dxa" w:w="1728"/>
          </w:tcPr>
          <w:p>
            <w:r>
              <w:rPr>
                <w:rFonts w:ascii="Calibri" w:hAnsi="Calibri"/>
                <w:sz w:val="22"/>
              </w:rPr>
              <w:t>FactSet (FDS)</w:t>
            </w:r>
          </w:p>
        </w:tc>
        <w:tc>
          <w:tcPr>
            <w:tcW w:type="dxa" w:w="1728"/>
          </w:tcPr>
          <w:p>
            <w:r>
              <w:rPr>
                <w:rFonts w:ascii="Calibri" w:hAnsi="Calibri"/>
                <w:sz w:val="22"/>
              </w:rPr>
              <w:t>Q3 FY2026 Earnings</w:t>
            </w:r>
          </w:p>
        </w:tc>
        <w:tc>
          <w:tcPr>
            <w:tcW w:type="dxa" w:w="1728"/>
          </w:tcPr>
          <w:p>
            <w:r>
              <w:rPr>
                <w:rFonts w:ascii="Calibri" w:hAnsi="Calibri"/>
                <w:sz w:val="22"/>
              </w:rPr>
              <w:t>Jul 1, 2026</w:t>
            </w:r>
          </w:p>
        </w:tc>
        <w:tc>
          <w:tcPr>
            <w:tcW w:type="dxa" w:w="1728"/>
          </w:tcPr>
          <w:p>
            <w:r>
              <w:rPr>
                <w:rFonts w:ascii="Calibri" w:hAnsi="Calibri"/>
                <w:b/>
                <w:color w:val="30A46C"/>
                <w:sz w:val="22"/>
              </w:rPr>
              <w:t>Positive</w:t>
            </w:r>
          </w:p>
        </w:tc>
        <w:tc>
          <w:tcPr>
            <w:tcW w:type="dxa" w:w="1728"/>
          </w:tcPr>
          <w:p>
            <w:r>
              <w:rPr>
                <w:rFonts w:ascii="Calibri" w:hAnsi="Calibri"/>
                <w:sz w:val="22"/>
              </w:rPr>
              <w:t>Subscription retention, net new sales, hedge fund demand</w:t>
            </w:r>
          </w:p>
        </w:tc>
      </w:tr>
      <w:tr>
        <w:tc>
          <w:tcPr>
            <w:tcW w:type="dxa" w:w="1728"/>
          </w:tcPr>
          <w:p>
            <w:r>
              <w:rPr>
                <w:rFonts w:ascii="Calibri" w:hAnsi="Calibri"/>
                <w:sz w:val="22"/>
              </w:rPr>
              <w:t>Moody’s (MCO)</w:t>
            </w:r>
          </w:p>
        </w:tc>
        <w:tc>
          <w:tcPr>
            <w:tcW w:type="dxa" w:w="1728"/>
          </w:tcPr>
          <w:p>
            <w:r>
              <w:rPr>
                <w:rFonts w:ascii="Calibri" w:hAnsi="Calibri"/>
                <w:sz w:val="22"/>
              </w:rPr>
              <w:t>GenAI Strategy Call</w:t>
            </w:r>
          </w:p>
        </w:tc>
        <w:tc>
          <w:tcPr>
            <w:tcW w:type="dxa" w:w="1728"/>
          </w:tcPr>
          <w:p>
            <w:r>
              <w:rPr>
                <w:rFonts w:ascii="Calibri" w:hAnsi="Calibri"/>
                <w:sz w:val="22"/>
              </w:rPr>
              <w:t>Jun 8, 2026</w:t>
            </w:r>
          </w:p>
        </w:tc>
        <w:tc>
          <w:tcPr>
            <w:tcW w:type="dxa" w:w="1728"/>
          </w:tcPr>
          <w:p>
            <w:r>
              <w:rPr>
                <w:rFonts w:ascii="Calibri" w:hAnsi="Calibri"/>
                <w:b/>
                <w:color w:val="30A46C"/>
                <w:sz w:val="22"/>
              </w:rPr>
              <w:t>Positive</w:t>
            </w:r>
          </w:p>
        </w:tc>
        <w:tc>
          <w:tcPr>
            <w:tcW w:type="dxa" w:w="1728"/>
          </w:tcPr>
          <w:p>
            <w:r>
              <w:rPr>
                <w:rFonts w:ascii="Calibri" w:hAnsi="Calibri"/>
                <w:sz w:val="22"/>
              </w:rPr>
              <w:t>AI content licensing revenue, enterprise data demand, retention uplift from AI</w:t>
            </w:r>
          </w:p>
        </w:tc>
      </w:tr>
      <w:tr>
        <w:tc>
          <w:tcPr>
            <w:tcW w:type="dxa" w:w="1728"/>
          </w:tcPr>
          <w:p>
            <w:r>
              <w:rPr>
                <w:rFonts w:ascii="Calibri" w:hAnsi="Calibri"/>
                <w:sz w:val="22"/>
              </w:rPr>
              <w:t>MSCI (own webinar)</w:t>
            </w:r>
          </w:p>
        </w:tc>
        <w:tc>
          <w:tcPr>
            <w:tcW w:type="dxa" w:w="1728"/>
          </w:tcPr>
          <w:p>
            <w:r>
              <w:rPr>
                <w:rFonts w:ascii="Calibri" w:hAnsi="Calibri"/>
                <w:sz w:val="22"/>
              </w:rPr>
              <w:t>Private Assets Business Update</w:t>
            </w:r>
          </w:p>
        </w:tc>
        <w:tc>
          <w:tcPr>
            <w:tcW w:type="dxa" w:w="1728"/>
          </w:tcPr>
          <w:p>
            <w:r>
              <w:rPr>
                <w:rFonts w:ascii="Calibri" w:hAnsi="Calibri"/>
                <w:sz w:val="22"/>
              </w:rPr>
              <w:t>Jun 25, 2026</w:t>
            </w:r>
          </w:p>
        </w:tc>
        <w:tc>
          <w:tcPr>
            <w:tcW w:type="dxa" w:w="1728"/>
          </w:tcPr>
          <w:p>
            <w:r>
              <w:rPr>
                <w:rFonts w:ascii="Calibri" w:hAnsi="Calibri"/>
                <w:b/>
                <w:color w:val="30A46C"/>
                <w:sz w:val="22"/>
              </w:rPr>
              <w:t>Positive</w:t>
            </w:r>
          </w:p>
        </w:tc>
        <w:tc>
          <w:tcPr>
            <w:tcW w:type="dxa" w:w="1728"/>
          </w:tcPr>
          <w:p>
            <w:r>
              <w:rPr>
                <w:rFonts w:ascii="Calibri" w:hAnsi="Calibri"/>
                <w:sz w:val="22"/>
              </w:rPr>
              <w:t>PCS run rate (16% growth confirmed), infrastructure pipeline, EBITDA margins</w:t>
            </w:r>
          </w:p>
        </w:tc>
      </w:tr>
      <w:tr>
        <w:tc>
          <w:tcPr>
            <w:tcW w:type="dxa" w:w="1728"/>
          </w:tcPr>
          <w:p>
            <w:r>
              <w:rPr>
                <w:rFonts w:ascii="Calibri" w:hAnsi="Calibri"/>
                <w:sz w:val="22"/>
              </w:rPr>
              <w:t>S&amp;P Global (SPGI)</w:t>
            </w:r>
          </w:p>
        </w:tc>
        <w:tc>
          <w:tcPr>
            <w:tcW w:type="dxa" w:w="1728"/>
          </w:tcPr>
          <w:p>
            <w:r>
              <w:rPr>
                <w:rFonts w:ascii="Calibri" w:hAnsi="Calibri"/>
                <w:sz w:val="22"/>
              </w:rPr>
              <w:t>Investor Day</w:t>
            </w:r>
          </w:p>
        </w:tc>
        <w:tc>
          <w:tcPr>
            <w:tcW w:type="dxa" w:w="1728"/>
          </w:tcPr>
          <w:p>
            <w:r>
              <w:rPr>
                <w:rFonts w:ascii="Calibri" w:hAnsi="Calibri"/>
                <w:sz w:val="22"/>
              </w:rPr>
              <w:t>May 12, 2026</w:t>
            </w:r>
          </w:p>
        </w:tc>
        <w:tc>
          <w:tcPr>
            <w:tcW w:type="dxa" w:w="1728"/>
          </w:tcPr>
          <w:p>
            <w:r>
              <w:rPr>
                <w:rFonts w:ascii="Calibri" w:hAnsi="Calibri"/>
                <w:b/>
                <w:color w:val="30A46C"/>
                <w:sz w:val="22"/>
              </w:rPr>
              <w:t>Positive</w:t>
            </w:r>
          </w:p>
        </w:tc>
        <w:tc>
          <w:tcPr>
            <w:tcW w:type="dxa" w:w="1728"/>
          </w:tcPr>
          <w:p>
            <w:r>
              <w:rPr>
                <w:rFonts w:ascii="Calibri" w:hAnsi="Calibri"/>
                <w:sz w:val="22"/>
              </w:rPr>
              <w:t>ABF/ETF AUM (passive investing tailwind), ESG stabilization</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Post-Q1 news flow has been uniformly positive — analyst upgrades, a constructive private assets webinar, and the Q2 earnings call announcement all point to a company executing well with no negative surprises in the inter-quarter period.</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Significance</w:t>
            </w:r>
          </w:p>
        </w:tc>
      </w:tr>
      <w:tr>
        <w:tc>
          <w:tcPr>
            <w:tcW w:type="dxa" w:w="2880"/>
          </w:tcPr>
          <w:p>
            <w:r>
              <w:rPr>
                <w:rFonts w:ascii="Calibri" w:hAnsi="Calibri"/>
                <w:sz w:val="22"/>
              </w:rPr>
              <w:t>Apr 21, 2026</w:t>
            </w:r>
          </w:p>
        </w:tc>
        <w:tc>
          <w:tcPr>
            <w:tcW w:type="dxa" w:w="2880"/>
          </w:tcPr>
          <w:p>
            <w:r>
              <w:rPr>
                <w:rFonts w:ascii="Calibri" w:hAnsi="Calibri"/>
                <w:sz w:val="22"/>
              </w:rPr>
              <w:t>Q1 2026 Earnings Beat — Revenue $850.8M (+1.4% vs. consensus), Op. EPS $4.55 (+2.5% vs. consensus); record ABF run rate; best Q1 recurring sales since 2022</w:t>
            </w:r>
          </w:p>
        </w:tc>
        <w:tc>
          <w:tcPr>
            <w:tcW w:type="dxa" w:w="2880"/>
          </w:tcPr>
          <w:p>
            <w:r>
              <w:rPr>
                <w:rFonts w:ascii="Calibri" w:hAnsi="Calibri"/>
                <w:b/>
                <w:color w:val="30A46C"/>
                <w:sz w:val="22"/>
              </w:rPr>
              <w:t>High — Set a strong baseline and bullish tone for Q2</w:t>
            </w:r>
          </w:p>
        </w:tc>
      </w:tr>
      <w:tr>
        <w:tc>
          <w:tcPr>
            <w:tcW w:type="dxa" w:w="2880"/>
          </w:tcPr>
          <w:p>
            <w:r>
              <w:rPr>
                <w:rFonts w:ascii="Calibri" w:hAnsi="Calibri"/>
                <w:sz w:val="22"/>
              </w:rPr>
              <w:t>Apr 23, 2026</w:t>
            </w:r>
          </w:p>
        </w:tc>
        <w:tc>
          <w:tcPr>
            <w:tcW w:type="dxa" w:w="2880"/>
          </w:tcPr>
          <w:p>
            <w:r>
              <w:rPr>
                <w:rFonts w:ascii="Calibri" w:hAnsi="Calibri"/>
                <w:sz w:val="22"/>
              </w:rPr>
              <w:t>Annual Shareholder Meeting — Directors, executive pay, and auditor all approved by shareholders</w:t>
            </w:r>
          </w:p>
        </w:tc>
        <w:tc>
          <w:tcPr>
            <w:tcW w:type="dxa" w:w="2880"/>
          </w:tcPr>
          <w:p>
            <w:r>
              <w:rPr>
                <w:rFonts w:ascii="Calibri" w:hAnsi="Calibri"/>
                <w:sz w:val="22"/>
              </w:rPr>
              <w:t>Low — Routine governance; no surprises</w:t>
            </w:r>
          </w:p>
        </w:tc>
      </w:tr>
      <w:tr>
        <w:tc>
          <w:tcPr>
            <w:tcW w:type="dxa" w:w="2880"/>
          </w:tcPr>
          <w:p>
            <w:r>
              <w:rPr>
                <w:rFonts w:ascii="Calibri" w:hAnsi="Calibri"/>
                <w:sz w:val="22"/>
              </w:rPr>
              <w:t>May 12, 2026</w:t>
            </w:r>
          </w:p>
        </w:tc>
        <w:tc>
          <w:tcPr>
            <w:tcW w:type="dxa" w:w="2880"/>
          </w:tcPr>
          <w:p>
            <w:r>
              <w:rPr>
                <w:rFonts w:ascii="Calibri" w:hAnsi="Calibri"/>
                <w:sz w:val="22"/>
              </w:rPr>
              <w:t>SPGI Investor Day — Sector-level commentary on AI, ESG, and passive investing tailwinds</w:t>
            </w:r>
          </w:p>
        </w:tc>
        <w:tc>
          <w:tcPr>
            <w:tcW w:type="dxa" w:w="2880"/>
          </w:tcPr>
          <w:p>
            <w:r>
              <w:rPr>
                <w:rFonts w:ascii="Calibri" w:hAnsi="Calibri"/>
                <w:b/>
                <w:color w:val="30A46C"/>
                <w:sz w:val="22"/>
              </w:rPr>
              <w:t>Medium — Positive read-through for MSCI's core businesses</w:t>
            </w:r>
          </w:p>
        </w:tc>
      </w:tr>
      <w:tr>
        <w:tc>
          <w:tcPr>
            <w:tcW w:type="dxa" w:w="2880"/>
          </w:tcPr>
          <w:p>
            <w:r>
              <w:rPr>
                <w:rFonts w:ascii="Calibri" w:hAnsi="Calibri"/>
                <w:sz w:val="22"/>
              </w:rPr>
              <w:t>May 27, 2026</w:t>
            </w:r>
          </w:p>
        </w:tc>
        <w:tc>
          <w:tcPr>
            <w:tcW w:type="dxa" w:w="2880"/>
          </w:tcPr>
          <w:p>
            <w:r>
              <w:rPr>
                <w:rFonts w:ascii="Calibri" w:hAnsi="Calibri"/>
                <w:sz w:val="22"/>
              </w:rPr>
              <w:t>Wells Fargo Upgrade — Upgraded MSCI to Overweight; stock at ~$588 at time of upgrade</w:t>
            </w:r>
          </w:p>
        </w:tc>
        <w:tc>
          <w:tcPr>
            <w:tcW w:type="dxa" w:w="2880"/>
          </w:tcPr>
          <w:p>
            <w:r>
              <w:rPr>
                <w:rFonts w:ascii="Calibri" w:hAnsi="Calibri"/>
                <w:b/>
                <w:color w:val="30A46C"/>
                <w:sz w:val="22"/>
              </w:rPr>
              <w:t>Medium — Incremental buy-side interest; stock subsequently rallied</w:t>
            </w:r>
          </w:p>
        </w:tc>
      </w:tr>
      <w:tr>
        <w:tc>
          <w:tcPr>
            <w:tcW w:type="dxa" w:w="2880"/>
          </w:tcPr>
          <w:p>
            <w:r>
              <w:rPr>
                <w:rFonts w:ascii="Calibri" w:hAnsi="Calibri"/>
                <w:sz w:val="22"/>
              </w:rPr>
              <w:t>Jun 8, 2026</w:t>
            </w:r>
          </w:p>
        </w:tc>
        <w:tc>
          <w:tcPr>
            <w:tcW w:type="dxa" w:w="2880"/>
          </w:tcPr>
          <w:p>
            <w:r>
              <w:rPr>
                <w:rFonts w:ascii="Calibri" w:hAnsi="Calibri"/>
                <w:sz w:val="22"/>
              </w:rPr>
              <w:t>Moody’s GenAI Strategy Call — Detailed AI monetization framework; enterprise license demand; AI retention uplift</w:t>
            </w:r>
          </w:p>
        </w:tc>
        <w:tc>
          <w:tcPr>
            <w:tcW w:type="dxa" w:w="2880"/>
          </w:tcPr>
          <w:p>
            <w:r>
              <w:rPr>
                <w:rFonts w:ascii="Calibri" w:hAnsi="Calibri"/>
                <w:b/>
                <w:color w:val="30A46C"/>
                <w:sz w:val="22"/>
              </w:rPr>
              <w:t>Medium — Positive sector read-through for MSCI’s AI content licensing opportunity</w:t>
            </w:r>
          </w:p>
        </w:tc>
      </w:tr>
      <w:tr>
        <w:tc>
          <w:tcPr>
            <w:tcW w:type="dxa" w:w="2880"/>
          </w:tcPr>
          <w:p>
            <w:r>
              <w:rPr>
                <w:rFonts w:ascii="Calibri" w:hAnsi="Calibri"/>
                <w:sz w:val="22"/>
              </w:rPr>
              <w:t>Jun 22, 2026</w:t>
            </w:r>
          </w:p>
        </w:tc>
        <w:tc>
          <w:tcPr>
            <w:tcW w:type="dxa" w:w="2880"/>
          </w:tcPr>
          <w:p>
            <w:r>
              <w:rPr>
                <w:rFonts w:ascii="Calibri" w:hAnsi="Calibri"/>
                <w:sz w:val="22"/>
              </w:rPr>
              <w:t>MSCI Announces Private Assets &amp; AI Webinar — Press release announcing June 25 Q&amp;A session on Private Assets and AI-Enabled Innovation</w:t>
            </w:r>
          </w:p>
        </w:tc>
        <w:tc>
          <w:tcPr>
            <w:tcW w:type="dxa" w:w="2880"/>
          </w:tcPr>
          <w:p>
            <w:r>
              <w:rPr>
                <w:rFonts w:ascii="Calibri" w:hAnsi="Calibri"/>
                <w:sz w:val="22"/>
              </w:rPr>
              <w:t>Medium — Proactive investor communication; signals management confidence in private assets narrative</w:t>
            </w:r>
          </w:p>
        </w:tc>
      </w:tr>
      <w:tr>
        <w:tc>
          <w:tcPr>
            <w:tcW w:type="dxa" w:w="2880"/>
          </w:tcPr>
          <w:p>
            <w:r>
              <w:rPr>
                <w:rFonts w:ascii="Calibri" w:hAnsi="Calibri"/>
                <w:sz w:val="22"/>
              </w:rPr>
              <w:t>Jun 25, 2026</w:t>
            </w:r>
          </w:p>
        </w:tc>
        <w:tc>
          <w:tcPr>
            <w:tcW w:type="dxa" w:w="2880"/>
          </w:tcPr>
          <w:p>
            <w:r>
              <w:rPr>
                <w:rFonts w:ascii="Calibri" w:hAnsi="Calibri"/>
                <w:sz w:val="22"/>
              </w:rPr>
              <w:t>Private Assets Business Update Webinar — PCS 16% growth confirmed; infrastructure flagged as significant growth area; AI-powered data ingestion highlighted</w:t>
            </w:r>
          </w:p>
        </w:tc>
        <w:tc>
          <w:tcPr>
            <w:tcW w:type="dxa" w:w="2880"/>
          </w:tcPr>
          <w:p>
            <w:r>
              <w:rPr>
                <w:rFonts w:ascii="Calibri" w:hAnsi="Calibri"/>
                <w:b/>
                <w:color w:val="30A46C"/>
                <w:sz w:val="22"/>
              </w:rPr>
              <w:t>High — Direct Q2 read-through; PCS growth acceleration is a positive surprise vs. consensus</w:t>
            </w:r>
          </w:p>
        </w:tc>
      </w:tr>
      <w:tr>
        <w:tc>
          <w:tcPr>
            <w:tcW w:type="dxa" w:w="2880"/>
          </w:tcPr>
          <w:p>
            <w:r>
              <w:rPr>
                <w:rFonts w:ascii="Calibri" w:hAnsi="Calibri"/>
                <w:sz w:val="22"/>
              </w:rPr>
              <w:t>Jul 8, 2026</w:t>
            </w:r>
          </w:p>
        </w:tc>
        <w:tc>
          <w:tcPr>
            <w:tcW w:type="dxa" w:w="2880"/>
          </w:tcPr>
          <w:p>
            <w:r>
              <w:rPr>
                <w:rFonts w:ascii="Calibri" w:hAnsi="Calibri"/>
                <w:sz w:val="22"/>
              </w:rPr>
              <w:t>Q2 2026 Earnings Call Details Announced — MSCI announced the date and format for Q2 2026 earnings call</w:t>
            </w:r>
          </w:p>
        </w:tc>
        <w:tc>
          <w:tcPr>
            <w:tcW w:type="dxa" w:w="2880"/>
          </w:tcPr>
          <w:p>
            <w:r>
              <w:rPr>
                <w:rFonts w:ascii="Calibri" w:hAnsi="Calibri"/>
                <w:sz w:val="22"/>
              </w:rPr>
              <w:t>Low — Routine announcement; confirms earnings timeline</w:t>
            </w:r>
          </w:p>
        </w:tc>
      </w:tr>
      <w:tr>
        <w:tc>
          <w:tcPr>
            <w:tcW w:type="dxa" w:w="2880"/>
          </w:tcPr>
          <w:p>
            <w:r>
              <w:rPr>
                <w:rFonts w:ascii="Calibri" w:hAnsi="Calibri"/>
                <w:sz w:val="22"/>
              </w:rPr>
              <w:t>Jul 9–20, 2026</w:t>
            </w:r>
          </w:p>
        </w:tc>
        <w:tc>
          <w:tcPr>
            <w:tcW w:type="dxa" w:w="2880"/>
          </w:tcPr>
          <w:p>
            <w:r>
              <w:rPr>
                <w:rFonts w:ascii="Calibri" w:hAnsi="Calibri"/>
                <w:sz w:val="22"/>
              </w:rPr>
              <w:t>Analyst PT Raises — RBC ($655), Barclays ($735), JPMorgan ($742), Jefferies initiation at Buy ($760)</w:t>
            </w:r>
          </w:p>
        </w:tc>
        <w:tc>
          <w:tcPr>
            <w:tcW w:type="dxa" w:w="2880"/>
          </w:tcPr>
          <w:p>
            <w:r>
              <w:rPr>
                <w:rFonts w:ascii="Calibri" w:hAnsi="Calibri"/>
                <w:b/>
                <w:color w:val="30A46C"/>
                <w:sz w:val="22"/>
              </w:rPr>
              <w:t>High — Broad-based sell-side constructiveness heading into Q2 print; average PT ~$703–$714</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w:t>
      </w:r>
      <w:r>
        <w:rPr>
          <w:rFonts w:ascii="Calibri" w:hAnsi="Calibri"/>
          <w:b/>
          <w:color w:val="525866"/>
          <w:sz w:val="22"/>
        </w:rPr>
        <w:t>CEO Henry Fernandez's open-market purchase of 4,000 shares on May 15, 2026</w:t>
      </w:r>
      <w:r>
        <w:rPr>
          <w:rFonts w:ascii="Calibri" w:hAnsi="Calibri"/>
          <w:color w:val="525866"/>
          <w:sz w:val="22"/>
        </w:rPr>
        <w:t xml:space="preserve"> — a non-10b5-1 discretionary buy at approximately $584/share, representing a meaningful vote of confidence at a time when the stock was near its post-Q1 trough. CFO Wiechmann's routine 10b5-1 sales are plan-driven and carry no negative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Signal</w:t>
            </w:r>
          </w:p>
        </w:tc>
      </w:tr>
      <w:tr>
        <w:tc>
          <w:tcPr>
            <w:tcW w:type="dxa" w:w="1234"/>
          </w:tcPr>
          <w:p>
            <w:r>
              <w:rPr>
                <w:rFonts w:ascii="Calibri" w:hAnsi="Calibri"/>
                <w:sz w:val="22"/>
              </w:rPr>
              <w:t>Jun 10, 2026</w:t>
            </w:r>
          </w:p>
        </w:tc>
        <w:tc>
          <w:tcPr>
            <w:tcW w:type="dxa" w:w="1234"/>
          </w:tcPr>
          <w:p>
            <w:r>
              <w:rPr>
                <w:rFonts w:ascii="Calibri" w:hAnsi="Calibri"/>
                <w:sz w:val="22"/>
              </w:rPr>
              <w:t>Andrew Wiechmann</w:t>
            </w:r>
          </w:p>
        </w:tc>
        <w:tc>
          <w:tcPr>
            <w:tcW w:type="dxa" w:w="1234"/>
          </w:tcPr>
          <w:p>
            <w:r>
              <w:rPr>
                <w:rFonts w:ascii="Calibri" w:hAnsi="Calibri"/>
                <w:sz w:val="22"/>
              </w:rPr>
              <w:t>CFO</w:t>
            </w:r>
          </w:p>
        </w:tc>
        <w:tc>
          <w:tcPr>
            <w:tcW w:type="dxa" w:w="1234"/>
          </w:tcPr>
          <w:p>
            <w:r>
              <w:rPr>
                <w:rFonts w:ascii="Calibri" w:hAnsi="Calibri"/>
                <w:sz w:val="22"/>
              </w:rPr>
              <w:t>Sale (Disposition)</w:t>
            </w:r>
          </w:p>
        </w:tc>
        <w:tc>
          <w:tcPr>
            <w:tcW w:type="dxa" w:w="1234"/>
          </w:tcPr>
          <w:p>
            <w:r>
              <w:rPr>
                <w:rFonts w:ascii="Calibri" w:hAnsi="Calibri"/>
                <w:sz w:val="22"/>
              </w:rPr>
              <w:t>450</w:t>
            </w:r>
          </w:p>
        </w:tc>
        <w:tc>
          <w:tcPr>
            <w:tcW w:type="dxa" w:w="1234"/>
          </w:tcPr>
          <w:p>
            <w:r>
              <w:rPr>
                <w:rFonts w:ascii="Calibri" w:hAnsi="Calibri"/>
                <w:sz w:val="22"/>
              </w:rPr>
              <w:t>Yes</w:t>
            </w:r>
          </w:p>
        </w:tc>
        <w:tc>
          <w:tcPr>
            <w:tcW w:type="dxa" w:w="1234"/>
          </w:tcPr>
          <w:p>
            <w:r>
              <w:rPr>
                <w:rFonts w:ascii="Calibri" w:hAnsi="Calibri"/>
                <w:sz w:val="22"/>
              </w:rPr>
              <w:t>Neutral — Routine plan-driven sale</w:t>
            </w:r>
          </w:p>
        </w:tc>
      </w:tr>
      <w:tr>
        <w:tc>
          <w:tcPr>
            <w:tcW w:type="dxa" w:w="1234"/>
          </w:tcPr>
          <w:p>
            <w:r>
              <w:rPr>
                <w:rFonts w:ascii="Calibri" w:hAnsi="Calibri"/>
                <w:sz w:val="22"/>
              </w:rPr>
              <w:t>May 15, 2026</w:t>
            </w:r>
          </w:p>
        </w:tc>
        <w:tc>
          <w:tcPr>
            <w:tcW w:type="dxa" w:w="1234"/>
          </w:tcPr>
          <w:p>
            <w:r>
              <w:rPr>
                <w:rFonts w:ascii="Calibri" w:hAnsi="Calibri"/>
                <w:sz w:val="22"/>
              </w:rPr>
              <w:t>Henry Fernandez</w:t>
            </w:r>
          </w:p>
        </w:tc>
        <w:tc>
          <w:tcPr>
            <w:tcW w:type="dxa" w:w="1234"/>
          </w:tcPr>
          <w:p>
            <w:r>
              <w:rPr>
                <w:rFonts w:ascii="Calibri" w:hAnsi="Calibri"/>
                <w:sz w:val="22"/>
              </w:rPr>
              <w:t>Chairman &amp; CEO</w:t>
            </w:r>
          </w:p>
        </w:tc>
        <w:tc>
          <w:tcPr>
            <w:tcW w:type="dxa" w:w="1234"/>
          </w:tcPr>
          <w:p>
            <w:r>
              <w:rPr>
                <w:rFonts w:ascii="Calibri" w:hAnsi="Calibri"/>
                <w:b/>
                <w:sz w:val="22"/>
              </w:rPr>
              <w:t>Purchase (Acquisition)</w:t>
            </w:r>
          </w:p>
        </w:tc>
        <w:tc>
          <w:tcPr>
            <w:tcW w:type="dxa" w:w="1234"/>
          </w:tcPr>
          <w:p>
            <w:r>
              <w:rPr>
                <w:rFonts w:ascii="Calibri" w:hAnsi="Calibri"/>
                <w:b/>
                <w:sz w:val="22"/>
              </w:rPr>
              <w:t>4,000</w:t>
            </w:r>
          </w:p>
        </w:tc>
        <w:tc>
          <w:tcPr>
            <w:tcW w:type="dxa" w:w="1234"/>
          </w:tcPr>
          <w:p>
            <w:r>
              <w:rPr>
                <w:rFonts w:ascii="Calibri" w:hAnsi="Calibri"/>
                <w:b/>
                <w:sz w:val="22"/>
              </w:rPr>
              <w:t>No</w:t>
            </w:r>
          </w:p>
        </w:tc>
        <w:tc>
          <w:tcPr>
            <w:tcW w:type="dxa" w:w="1234"/>
          </w:tcPr>
          <w:p>
            <w:r>
              <w:rPr>
                <w:rFonts w:ascii="Calibri" w:hAnsi="Calibri"/>
                <w:b/>
                <w:color w:val="30A46C"/>
                <w:sz w:val="22"/>
              </w:rPr>
              <w:t>Bullish — Discretionary open-market buy</w:t>
            </w:r>
          </w:p>
        </w:tc>
      </w:tr>
      <w:tr>
        <w:tc>
          <w:tcPr>
            <w:tcW w:type="dxa" w:w="1234"/>
          </w:tcPr>
          <w:p>
            <w:r>
              <w:rPr>
                <w:rFonts w:ascii="Calibri" w:hAnsi="Calibri"/>
                <w:sz w:val="22"/>
              </w:rPr>
              <w:t>Apr 24, 2026</w:t>
            </w:r>
          </w:p>
        </w:tc>
        <w:tc>
          <w:tcPr>
            <w:tcW w:type="dxa" w:w="1234"/>
          </w:tcPr>
          <w:p>
            <w:r>
              <w:rPr>
                <w:rFonts w:ascii="Calibri" w:hAnsi="Calibri"/>
                <w:sz w:val="22"/>
              </w:rPr>
              <w:t>Alvise Munari</w:t>
            </w:r>
          </w:p>
        </w:tc>
        <w:tc>
          <w:tcPr>
            <w:tcW w:type="dxa" w:w="1234"/>
          </w:tcPr>
          <w:p>
            <w:r>
              <w:rPr>
                <w:rFonts w:ascii="Calibri" w:hAnsi="Calibri"/>
                <w:sz w:val="22"/>
              </w:rPr>
              <w:t>Chief Product Officer</w:t>
            </w:r>
          </w:p>
        </w:tc>
        <w:tc>
          <w:tcPr>
            <w:tcW w:type="dxa" w:w="1234"/>
          </w:tcPr>
          <w:p>
            <w:r>
              <w:rPr>
                <w:rFonts w:ascii="Calibri" w:hAnsi="Calibri"/>
                <w:sz w:val="22"/>
              </w:rPr>
              <w:t>Sale (Disposition)</w:t>
            </w:r>
          </w:p>
        </w:tc>
        <w:tc>
          <w:tcPr>
            <w:tcW w:type="dxa" w:w="1234"/>
          </w:tcPr>
          <w:p>
            <w:r>
              <w:rPr>
                <w:rFonts w:ascii="Calibri" w:hAnsi="Calibri"/>
                <w:sz w:val="22"/>
              </w:rPr>
              <w:t>10,000</w:t>
            </w:r>
          </w:p>
        </w:tc>
        <w:tc>
          <w:tcPr>
            <w:tcW w:type="dxa" w:w="1234"/>
          </w:tcPr>
          <w:p>
            <w:r>
              <w:rPr>
                <w:rFonts w:ascii="Calibri" w:hAnsi="Calibri"/>
                <w:sz w:val="22"/>
              </w:rPr>
              <w:t>No</w:t>
            </w:r>
          </w:p>
        </w:tc>
        <w:tc>
          <w:tcPr>
            <w:tcW w:type="dxa" w:w="1234"/>
          </w:tcPr>
          <w:p>
            <w:r>
              <w:rPr>
                <w:rFonts w:ascii="Calibri" w:hAnsi="Calibri"/>
                <w:sz w:val="22"/>
              </w:rPr>
              <w:t>Neutral-to-Negative — Large sale post-earnings; no plan</w:t>
            </w:r>
          </w:p>
        </w:tc>
      </w:tr>
      <w:tr>
        <w:tc>
          <w:tcPr>
            <w:tcW w:type="dxa" w:w="1234"/>
          </w:tcPr>
          <w:p>
            <w:r>
              <w:rPr>
                <w:rFonts w:ascii="Calibri" w:hAnsi="Calibri"/>
                <w:sz w:val="22"/>
              </w:rPr>
              <w:t>Feb 13–17, 2026</w:t>
            </w:r>
          </w:p>
        </w:tc>
        <w:tc>
          <w:tcPr>
            <w:tcW w:type="dxa" w:w="1234"/>
          </w:tcPr>
          <w:p>
            <w:r>
              <w:rPr>
                <w:rFonts w:ascii="Calibri" w:hAnsi="Calibri"/>
                <w:sz w:val="22"/>
              </w:rPr>
              <w:t>Henry Fernandez</w:t>
            </w:r>
          </w:p>
        </w:tc>
        <w:tc>
          <w:tcPr>
            <w:tcW w:type="dxa" w:w="1234"/>
          </w:tcPr>
          <w:p>
            <w:r>
              <w:rPr>
                <w:rFonts w:ascii="Calibri" w:hAnsi="Calibri"/>
                <w:sz w:val="22"/>
              </w:rPr>
              <w:t>Chairman &amp; CEO</w:t>
            </w:r>
          </w:p>
        </w:tc>
        <w:tc>
          <w:tcPr>
            <w:tcW w:type="dxa" w:w="1234"/>
          </w:tcPr>
          <w:p>
            <w:r>
              <w:rPr>
                <w:rFonts w:ascii="Calibri" w:hAnsi="Calibri"/>
                <w:sz w:val="22"/>
              </w:rPr>
              <w:t>Purchase (Acquisition)</w:t>
            </w:r>
          </w:p>
        </w:tc>
        <w:tc>
          <w:tcPr>
            <w:tcW w:type="dxa" w:w="1234"/>
          </w:tcPr>
          <w:p>
            <w:r>
              <w:rPr>
                <w:rFonts w:ascii="Calibri" w:hAnsi="Calibri"/>
                <w:sz w:val="22"/>
              </w:rPr>
              <w:t>6,800 (combined)</w:t>
            </w:r>
          </w:p>
        </w:tc>
        <w:tc>
          <w:tcPr>
            <w:tcW w:type="dxa" w:w="1234"/>
          </w:tcPr>
          <w:p>
            <w:r>
              <w:rPr>
                <w:rFonts w:ascii="Calibri" w:hAnsi="Calibri"/>
                <w:sz w:val="22"/>
              </w:rPr>
              <w:t>No</w:t>
            </w:r>
          </w:p>
        </w:tc>
        <w:tc>
          <w:tcPr>
            <w:tcW w:type="dxa" w:w="1234"/>
          </w:tcPr>
          <w:p>
            <w:r>
              <w:rPr>
                <w:rFonts w:ascii="Calibri" w:hAnsi="Calibri"/>
                <w:b/>
                <w:color w:val="30A46C"/>
                <w:sz w:val="22"/>
              </w:rPr>
              <w:t>Bullish — Pre-Q1 discretionary buys</w:t>
            </w:r>
          </w:p>
        </w:tc>
      </w:tr>
    </w:tbl>
    <w:p>
      <w:r>
        <w:rPr>
          <w:rFonts w:ascii="Calibri" w:hAnsi="Calibri"/>
          <w:i/>
          <w:color w:val="525866"/>
          <w:sz w:val="22"/>
        </w:rPr>
        <w:t>Source: Insider Transaction Data (SEC Form 4 Filings).</w:t>
      </w:r>
    </w:p>
    <w:p>
      <w:r>
        <w:rPr>
          <w:rFonts w:ascii="Calibri" w:hAnsi="Calibri"/>
          <w:b/>
          <w:color w:val="525866"/>
          <w:sz w:val="22"/>
        </w:rPr>
        <w:t xml:space="preserve">Analysis: </w:t>
      </w:r>
      <w:r>
        <w:rPr>
          <w:rFonts w:ascii="Calibri" w:hAnsi="Calibri"/>
          <w:color w:val="525866"/>
          <w:sz w:val="22"/>
        </w:rPr>
        <w:t>CEO Fernandez has now purchased a combined ~10,800 shares in open-market transactions since February 2026 (pre-Q1 and post-Q1), bringing his total direct ownership to ~1.73M shares. These are discretionary, non-plan purchases at prices ranging from approximately $560–$590, signaling strong personal conviction in the stock at current levels. The CPO's 10,000-share sale on April 24 (three days post-Q1 earnings) is the only notable non-plan sale and likely reflects personal liquidity needs rather than a negative view on fundamentals, given the CEO's concurrent buying pattern. The CFO's 450-share 10b5-1 sales are routine and carry no informational content.</w:t>
      </w:r>
    </w:p>
    <w:p>
      <w:r>
        <w:br w:type="page"/>
      </w:r>
    </w:p>
    <w:p>
      <w:pPr>
        <w:pStyle w:val="Heading2"/>
      </w:pPr>
      <w:r>
        <w:rPr>
          <w:rFonts w:ascii="Calibri" w:hAnsi="Calibri"/>
          <w:b/>
          <w:color w:val="3B4259"/>
          <w:sz w:val="28"/>
        </w:rPr>
        <w:t>9. Key Risks &amp; Considerations</w:t>
      </w:r>
    </w:p>
    <w:p>
      <w:r>
        <w:rPr>
          <w:rFonts w:ascii="Calibri" w:hAnsi="Calibri"/>
          <w:b/>
          <w:color w:val="525866"/>
          <w:sz w:val="22"/>
        </w:rPr>
        <w:t xml:space="preserve">Key Takeaway: </w:t>
      </w:r>
      <w:r>
        <w:rPr>
          <w:rFonts w:ascii="Calibri" w:hAnsi="Calibri"/>
          <w:color w:val="525866"/>
          <w:sz w:val="22"/>
        </w:rPr>
        <w:t xml:space="preserve">The risk/reward skews positive heading into Q2, but the setup is not without risk — </w:t>
      </w:r>
      <w:r>
        <w:rPr>
          <w:rFonts w:ascii="Calibri" w:hAnsi="Calibri"/>
          <w:b/>
          <w:color w:val="525866"/>
          <w:sz w:val="22"/>
        </w:rPr>
        <w:t>ETF AUM mean-reversion and ESG headwinds are the two most likely sources of a negative surprise</w:t>
      </w:r>
      <w:r>
        <w:rPr>
          <w:rFonts w:ascii="Calibri" w:hAnsi="Calibri"/>
          <w:color w:val="525866"/>
          <w:sz w:val="22"/>
        </w:rPr>
        <w: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Risk Factor</w:t>
            </w:r>
          </w:p>
        </w:tc>
        <w:tc>
          <w:tcPr>
            <w:tcW w:type="dxa" w:w="2160"/>
            <w:shd w:val="clear" w:color="auto" w:fill="3B4259"/>
          </w:tcPr>
          <w:p>
            <w:r>
              <w:rPr>
                <w:rFonts w:ascii="Calibri" w:hAnsi="Calibri"/>
                <w:b/>
                <w:color w:val="FFFFFF"/>
                <w:sz w:val="22"/>
              </w:rPr>
              <w:t>Description</w:t>
            </w:r>
          </w:p>
        </w:tc>
        <w:tc>
          <w:tcPr>
            <w:tcW w:type="dxa" w:w="2160"/>
            <w:shd w:val="clear" w:color="auto" w:fill="3B4259"/>
          </w:tcPr>
          <w:p>
            <w:r>
              <w:rPr>
                <w:rFonts w:ascii="Calibri" w:hAnsi="Calibri"/>
                <w:b/>
                <w:color w:val="FFFFFF"/>
                <w:sz w:val="22"/>
              </w:rPr>
              <w:t>Probability</w:t>
            </w:r>
          </w:p>
        </w:tc>
        <w:tc>
          <w:tcPr>
            <w:tcW w:type="dxa" w:w="2160"/>
            <w:shd w:val="clear" w:color="auto" w:fill="3B4259"/>
          </w:tcPr>
          <w:p>
            <w:r>
              <w:rPr>
                <w:rFonts w:ascii="Calibri" w:hAnsi="Calibri"/>
                <w:b/>
                <w:color w:val="FFFFFF"/>
                <w:sz w:val="22"/>
              </w:rPr>
              <w:t>Impact</w:t>
            </w:r>
          </w:p>
        </w:tc>
      </w:tr>
      <w:tr>
        <w:tc>
          <w:tcPr>
            <w:tcW w:type="dxa" w:w="2160"/>
          </w:tcPr>
          <w:p>
            <w:r>
              <w:rPr>
                <w:rFonts w:ascii="Calibri" w:hAnsi="Calibri"/>
                <w:sz w:val="22"/>
              </w:rPr>
              <w:t>ETF AUM Mean-Reversion</w:t>
            </w:r>
          </w:p>
        </w:tc>
        <w:tc>
          <w:tcPr>
            <w:tcW w:type="dxa" w:w="2160"/>
          </w:tcPr>
          <w:p>
            <w:r>
              <w:rPr>
                <w:rFonts w:ascii="Calibri" w:hAnsi="Calibri"/>
                <w:sz w:val="22"/>
              </w:rPr>
              <w:t>Q1's record ETF inflows were partly driven by a surge in international/EM equity demand; if Q2 flows normalized or reversed (e.g., US equity outperformance, risk-off), average AUM could miss the $2.68T consensus</w:t>
            </w:r>
          </w:p>
        </w:tc>
        <w:tc>
          <w:tcPr>
            <w:tcW w:type="dxa" w:w="2160"/>
          </w:tcPr>
          <w:p>
            <w:r>
              <w:rPr>
                <w:rFonts w:ascii="Calibri" w:hAnsi="Calibri"/>
                <w:sz w:val="22"/>
              </w:rPr>
              <w:t>Medium</w:t>
            </w:r>
          </w:p>
        </w:tc>
        <w:tc>
          <w:tcPr>
            <w:tcW w:type="dxa" w:w="2160"/>
          </w:tcPr>
          <w:p>
            <w:r>
              <w:rPr>
                <w:rFonts w:ascii="Calibri" w:hAnsi="Calibri"/>
                <w:b/>
                <w:color w:val="E5484D"/>
                <w:sz w:val="22"/>
              </w:rPr>
              <w:t>High — ABF is the highest-margin revenue line; a miss here flows directly to EBITDA</w:t>
            </w:r>
          </w:p>
        </w:tc>
      </w:tr>
      <w:tr>
        <w:tc>
          <w:tcPr>
            <w:tcW w:type="dxa" w:w="2160"/>
          </w:tcPr>
          <w:p>
            <w:r>
              <w:rPr>
                <w:rFonts w:ascii="Calibri" w:hAnsi="Calibri"/>
                <w:sz w:val="22"/>
              </w:rPr>
              <w:t>ESG &amp; Climate Segment Weakness</w:t>
            </w:r>
          </w:p>
        </w:tc>
        <w:tc>
          <w:tcPr>
            <w:tcW w:type="dxa" w:w="2160"/>
          </w:tcPr>
          <w:p>
            <w:r>
              <w:rPr>
                <w:rFonts w:ascii="Calibri" w:hAnsi="Calibri"/>
                <w:sz w:val="22"/>
              </w:rPr>
              <w:t>ESG has been a persistent drag on run rate growth; regulatory uncertainty and political headwinds in the US could suppress new sales and increase cancellations</w:t>
            </w:r>
          </w:p>
        </w:tc>
        <w:tc>
          <w:tcPr>
            <w:tcW w:type="dxa" w:w="2160"/>
          </w:tcPr>
          <w:p>
            <w:r>
              <w:rPr>
                <w:rFonts w:ascii="Calibri" w:hAnsi="Calibri"/>
                <w:sz w:val="22"/>
              </w:rPr>
              <w:t>Medium</w:t>
            </w:r>
          </w:p>
        </w:tc>
        <w:tc>
          <w:tcPr>
            <w:tcW w:type="dxa" w:w="2160"/>
          </w:tcPr>
          <w:p>
            <w:r>
              <w:rPr>
                <w:rFonts w:ascii="Calibri" w:hAnsi="Calibri"/>
                <w:b/>
                <w:color w:val="E5484D"/>
                <w:sz w:val="22"/>
              </w:rPr>
              <w:t>Medium — ESG is a smaller segment but a visible negative if it misses</w:t>
            </w:r>
          </w:p>
        </w:tc>
      </w:tr>
      <w:tr>
        <w:tc>
          <w:tcPr>
            <w:tcW w:type="dxa" w:w="2160"/>
          </w:tcPr>
          <w:p>
            <w:r>
              <w:rPr>
                <w:rFonts w:ascii="Calibri" w:hAnsi="Calibri"/>
                <w:sz w:val="22"/>
              </w:rPr>
              <w:t>Active Asset Manager Pressure</w:t>
            </w:r>
          </w:p>
        </w:tc>
        <w:tc>
          <w:tcPr>
            <w:tcW w:type="dxa" w:w="2160"/>
          </w:tcPr>
          <w:p>
            <w:r>
              <w:rPr>
                <w:rFonts w:ascii="Calibri" w:hAnsi="Calibri"/>
                <w:sz w:val="22"/>
              </w:rPr>
              <w:t>Active managers continue to face fee compression and AUM outflows; MSCI's strategy of helping them create new products (active ETFs) is early-stage and may not offset near-term subscription pressure</w:t>
            </w:r>
          </w:p>
        </w:tc>
        <w:tc>
          <w:tcPr>
            <w:tcW w:type="dxa" w:w="2160"/>
          </w:tcPr>
          <w:p>
            <w:r>
              <w:rPr>
                <w:rFonts w:ascii="Calibri" w:hAnsi="Calibri"/>
                <w:sz w:val="22"/>
              </w:rPr>
              <w:t>Low-Medium</w:t>
            </w:r>
          </w:p>
        </w:tc>
        <w:tc>
          <w:tcPr>
            <w:tcW w:type="dxa" w:w="2160"/>
          </w:tcPr>
          <w:p>
            <w:r>
              <w:rPr>
                <w:rFonts w:ascii="Calibri" w:hAnsi="Calibri"/>
                <w:sz w:val="22"/>
              </w:rPr>
              <w:t>Medium — Active manager segment is a known headwind; market has largely priced this in</w:t>
            </w:r>
          </w:p>
        </w:tc>
      </w:tr>
      <w:tr>
        <w:tc>
          <w:tcPr>
            <w:tcW w:type="dxa" w:w="2160"/>
          </w:tcPr>
          <w:p>
            <w:r>
              <w:rPr>
                <w:rFonts w:ascii="Calibri" w:hAnsi="Calibri"/>
                <w:sz w:val="22"/>
              </w:rPr>
              <w:t>Private Assets (Burgess) Execution</w:t>
            </w:r>
          </w:p>
        </w:tc>
        <w:tc>
          <w:tcPr>
            <w:tcW w:type="dxa" w:w="2160"/>
          </w:tcPr>
          <w:p>
            <w:r>
              <w:rPr>
                <w:rFonts w:ascii="Calibri" w:hAnsi="Calibri"/>
                <w:sz w:val="22"/>
              </w:rPr>
              <w:t>CFO acknowledged Burgess has not yet reached targeted growth rate; slower-than-expected product innovation and industry adoption remain risks despite recent acceleration</w:t>
            </w:r>
          </w:p>
        </w:tc>
        <w:tc>
          <w:tcPr>
            <w:tcW w:type="dxa" w:w="2160"/>
          </w:tcPr>
          <w:p>
            <w:r>
              <w:rPr>
                <w:rFonts w:ascii="Calibri" w:hAnsi="Calibri"/>
                <w:sz w:val="22"/>
              </w:rPr>
              <w:t>Low-Medium</w:t>
            </w:r>
          </w:p>
        </w:tc>
        <w:tc>
          <w:tcPr>
            <w:tcW w:type="dxa" w:w="2160"/>
          </w:tcPr>
          <w:p>
            <w:r>
              <w:rPr>
                <w:rFonts w:ascii="Calibri" w:hAnsi="Calibri"/>
                <w:sz w:val="22"/>
              </w:rPr>
              <w:t>Medium — PCS 16% growth (per June webinar) is encouraging but below the long-term target rate</w:t>
            </w:r>
          </w:p>
        </w:tc>
      </w:tr>
      <w:tr>
        <w:tc>
          <w:tcPr>
            <w:tcW w:type="dxa" w:w="2160"/>
          </w:tcPr>
          <w:p>
            <w:r>
              <w:rPr>
                <w:rFonts w:ascii="Calibri" w:hAnsi="Calibri"/>
                <w:sz w:val="22"/>
              </w:rPr>
              <w:t>FX Headwinds</w:t>
            </w:r>
          </w:p>
        </w:tc>
        <w:tc>
          <w:tcPr>
            <w:tcW w:type="dxa" w:w="2160"/>
          </w:tcPr>
          <w:p>
            <w:r>
              <w:rPr>
                <w:rFonts w:ascii="Calibri" w:hAnsi="Calibri"/>
                <w:sz w:val="22"/>
              </w:rPr>
              <w:t>MSCI generates significant non-USD revenue; USD strength could create FX headwinds on reported revenue and run rate</w:t>
            </w:r>
          </w:p>
        </w:tc>
        <w:tc>
          <w:tcPr>
            <w:tcW w:type="dxa" w:w="2160"/>
          </w:tcPr>
          <w:p>
            <w:r>
              <w:rPr>
                <w:rFonts w:ascii="Calibri" w:hAnsi="Calibri"/>
                <w:sz w:val="22"/>
              </w:rPr>
              <w:t>Low</w:t>
            </w:r>
          </w:p>
        </w:tc>
        <w:tc>
          <w:tcPr>
            <w:tcW w:type="dxa" w:w="2160"/>
          </w:tcPr>
          <w:p>
            <w:r>
              <w:rPr>
                <w:rFonts w:ascii="Calibri" w:hAnsi="Calibri"/>
                <w:sz w:val="22"/>
              </w:rPr>
              <w:t>Low-Medium — MSCI hedges FX exposure; impact is typically modest</w:t>
            </w:r>
          </w:p>
        </w:tc>
      </w:tr>
      <w:tr>
        <w:tc>
          <w:tcPr>
            <w:tcW w:type="dxa" w:w="2160"/>
          </w:tcPr>
          <w:p>
            <w:r>
              <w:rPr>
                <w:rFonts w:ascii="Calibri" w:hAnsi="Calibri"/>
                <w:sz w:val="22"/>
              </w:rPr>
              <w:t>Macro / Market Volatility</w:t>
            </w:r>
          </w:p>
        </w:tc>
        <w:tc>
          <w:tcPr>
            <w:tcW w:type="dxa" w:w="2160"/>
          </w:tcPr>
          <w:p>
            <w:r>
              <w:rPr>
                <w:rFonts w:ascii="Calibri" w:hAnsi="Calibri"/>
                <w:sz w:val="22"/>
              </w:rPr>
              <w:t>A sharp equity market selloff could reduce ETF AUM and trigger client budget reviews; management noted no pullback in Q1 despite late-March/early-April volatility</w:t>
            </w:r>
          </w:p>
        </w:tc>
        <w:tc>
          <w:tcPr>
            <w:tcW w:type="dxa" w:w="2160"/>
          </w:tcPr>
          <w:p>
            <w:r>
              <w:rPr>
                <w:rFonts w:ascii="Calibri" w:hAnsi="Calibri"/>
                <w:sz w:val="22"/>
              </w:rPr>
              <w:t>Low</w:t>
            </w:r>
          </w:p>
        </w:tc>
        <w:tc>
          <w:tcPr>
            <w:tcW w:type="dxa" w:w="2160"/>
          </w:tcPr>
          <w:p>
            <w:r>
              <w:rPr>
                <w:rFonts w:ascii="Calibri" w:hAnsi="Calibri"/>
                <w:sz w:val="22"/>
              </w:rPr>
              <w:t>High if realized — but MSCI's "all-weather franchise" characterization suggests resilience</w:t>
            </w:r>
          </w:p>
        </w:tc>
      </w:tr>
    </w:tbl>
    <w:p>
      <w:r>
        <w:rPr>
          <w:rFonts w:ascii="Calibri" w:hAnsi="Calibri"/>
          <w:b/>
          <w:color w:val="525866"/>
          <w:sz w:val="22"/>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historical actuals (Operating Revenues, Asset-Based Fees, Recurring Subscription Revenue, Adj. EBITDA, Adj. Diluted EPS, Net New Recurring Subscription Sales, Aggregate Retention Rate, Total Run Rate, ETF AUM). Data as of July 20, 2026.</w:t>
      </w:r>
    </w:p>
    <w:p>
      <w:pPr>
        <w:pStyle w:val="ListBullet"/>
        <w:ind w:left="360" w:hanging="360"/>
      </w:pPr>
      <w:r>
        <w:rPr>
          <w:rFonts w:ascii="Calibri" w:hAnsi="Calibri"/>
          <w:b/>
          <w:color w:val="525866"/>
          <w:sz w:val="22"/>
        </w:rPr>
        <w:t>Stock Price Data</w:t>
      </w:r>
      <w:r>
        <w:rPr>
          <w:rFonts w:ascii="Calibri" w:hAnsi="Calibri"/>
          <w:color w:val="525866"/>
          <w:sz w:val="22"/>
        </w:rPr>
        <w:t xml:space="preserve"> — Daily closing prices for MSCI, SPGI, FDS, and SPY from April 21, 2026 to July 20, 2026.</w:t>
      </w:r>
    </w:p>
    <w:p>
      <w:pPr>
        <w:pStyle w:val="ListBullet"/>
        <w:ind w:left="360" w:hanging="360"/>
      </w:pPr>
      <w:r>
        <w:rPr>
          <w:rFonts w:ascii="Calibri" w:hAnsi="Calibri"/>
          <w:b/>
          <w:color w:val="525866"/>
          <w:sz w:val="22"/>
        </w:rPr>
        <w:t>Insider Transaction Data (SEC Form 4 Filings)</w:t>
      </w:r>
      <w:r>
        <w:rPr>
          <w:rFonts w:ascii="Calibri" w:hAnsi="Calibri"/>
          <w:color w:val="525866"/>
          <w:sz w:val="22"/>
        </w:rPr>
        <w:t xml:space="preserve"> — Form 4 filings for MSCI insiders. Transactions: Wiechmann (Jun 10, 2026), Fernandez (May 15, 2026), Munari (Apr 24, 2026), Fernandez (Feb 13–17, 2026).</w:t>
      </w:r>
    </w:p>
    <w:p>
      <w:pPr>
        <w:pStyle w:val="ListBullet"/>
        <w:ind w:left="360" w:hanging="360"/>
      </w:pPr>
      <w:r>
        <w:rPr>
          <w:rFonts w:ascii="Calibri" w:hAnsi="Calibri"/>
          <w:b/>
          <w:color w:val="525866"/>
          <w:sz w:val="22"/>
        </w:rPr>
        <w:t>Earnings Call Transcripts</w:t>
      </w:r>
      <w:r>
        <w:rPr>
          <w:rFonts w:ascii="Calibri" w:hAnsi="Calibri"/>
          <w:color w:val="525866"/>
          <w:sz w:val="22"/>
        </w:rPr>
        <w:t xml:space="preserve"> — MSCI Q1 2026 (Apr 21, 2026), MSCI Q4 2025 (Jan 28, 2026), MSCI Q3 2025 (Oct 28, 2025); FactSet Q3 FY2026 (Jul 1, 2026); Moody’s GenAI Strategy Call (Jun 8, 2026); MSCI Private Assets Business Update Webinar (Jun 25, 2026); SPGI Investor Day (May 12, 2026).</w:t>
      </w:r>
    </w:p>
    <w:p>
      <w:pPr>
        <w:pStyle w:val="ListBullet"/>
        <w:ind w:left="360" w:hanging="360"/>
      </w:pPr>
      <w:r>
        <w:rPr>
          <w:rFonts w:ascii="Calibri" w:hAnsi="Calibri"/>
          <w:b/>
          <w:color w:val="525866"/>
          <w:sz w:val="22"/>
        </w:rPr>
        <w:t>Internet / Analyst Data</w:t>
      </w:r>
      <w:r>
        <w:rPr>
          <w:rFonts w:ascii="Calibri" w:hAnsi="Calibri"/>
          <w:color w:val="525866"/>
          <w:sz w:val="22"/>
        </w:rPr>
        <w:t xml:space="preserve"> — Analyst price targets and rating actions sourced from MarketBeat, Investing.com, and Fintel as of July 20, 2026.</w:t>
      </w:r>
    </w:p>
    <w:p>
      <w:pPr>
        <w:pStyle w:val="ListBullet"/>
        <w:ind w:left="360" w:hanging="360"/>
      </w:pPr>
      <w:r>
        <w:rPr>
          <w:rFonts w:ascii="Calibri" w:hAnsi="Calibri"/>
          <w:color w:val="525866"/>
          <w:sz w:val="22"/>
        </w:rPr>
        <w:t>This document is prepared for informational purposes only and does not constitute investment advice. All estimates and consensus figures are subject to 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