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MSCI Inc. (MSCI)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MSCI Inc.</w:t>
            </w:r>
          </w:p>
        </w:tc>
        <w:tc>
          <w:tcPr>
            <w:tcW w:type="dxa" w:w="2160"/>
          </w:tcPr>
          <w:p>
            <w:r>
              <w:rPr>
                <w:rFonts w:ascii="Calibri" w:hAnsi="Calibri"/>
                <w:b/>
                <w:sz w:val="22"/>
              </w:rPr>
              <w:t>Earnings Date</w:t>
            </w:r>
          </w:p>
        </w:tc>
        <w:tc>
          <w:tcPr>
            <w:tcW w:type="dxa" w:w="2160"/>
          </w:tcPr>
          <w:p>
            <w:r>
              <w:rPr>
                <w:rFonts w:ascii="Calibri" w:hAnsi="Calibri"/>
                <w:sz w:val="22"/>
              </w:rPr>
              <w:t>July 21, 2026</w:t>
            </w:r>
          </w:p>
        </w:tc>
      </w:tr>
      <w:tr>
        <w:tc>
          <w:tcPr>
            <w:tcW w:type="dxa" w:w="2160"/>
          </w:tcPr>
          <w:p>
            <w:r>
              <w:rPr>
                <w:rFonts w:ascii="Calibri" w:hAnsi="Calibri"/>
                <w:b/>
                <w:sz w:val="22"/>
              </w:rPr>
              <w:t>Ticker</w:t>
            </w:r>
          </w:p>
        </w:tc>
        <w:tc>
          <w:tcPr>
            <w:tcW w:type="dxa" w:w="2160"/>
          </w:tcPr>
          <w:p>
            <w:r>
              <w:rPr>
                <w:rFonts w:ascii="Calibri" w:hAnsi="Calibri"/>
                <w:sz w:val="22"/>
              </w:rPr>
              <w:t>MSCI (NYSE)</w:t>
            </w:r>
          </w:p>
        </w:tc>
        <w:tc>
          <w:tcPr>
            <w:tcW w:type="dxa" w:w="2160"/>
          </w:tcPr>
          <w:p>
            <w:r>
              <w:rPr>
                <w:rFonts w:ascii="Calibri" w:hAnsi="Calibri"/>
                <w:b/>
                <w:sz w:val="22"/>
              </w:rPr>
              <w:t>Prepared</w:t>
            </w:r>
          </w:p>
        </w:tc>
        <w:tc>
          <w:tcPr>
            <w:tcW w:type="dxa" w:w="2160"/>
          </w:tcPr>
          <w:p>
            <w:r>
              <w:rPr>
                <w:rFonts w:ascii="Calibri" w:hAnsi="Calibri"/>
                <w:sz w:val="22"/>
              </w:rPr>
              <w:t>July 20,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Sector ETF (Chart)</w:t>
            </w:r>
          </w:p>
        </w:tc>
        <w:tc>
          <w:tcPr>
            <w:tcW w:type="dxa" w:w="2160"/>
          </w:tcPr>
          <w:p>
            <w:r>
              <w:rPr>
                <w:rFonts w:ascii="Calibri" w:hAnsi="Calibri"/>
                <w:sz w:val="22"/>
              </w:rPr>
              <w:t>KCE — Capital Markets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the ABF run rate is the biggest swing factor, and record Q1 ETF inflows combined with a constructive equity market backdrop through most of Q2 have driven consensus estimates sharply higher since the last print, leaving the bar elevated but achievable given MSCI's consistent history of outperformance.</w:t>
      </w:r>
    </w:p>
    <w:p>
      <w:r>
        <w:rPr>
          <w:rFonts w:ascii="Calibri" w:hAnsi="Calibri"/>
          <w:color w:val="525866"/>
          <w:sz w:val="22"/>
        </w:rPr>
        <w:t xml:space="preserve">Heading into Q2 2026, MSCI's setup is constructive but not without nuance. The </w:t>
      </w:r>
      <w:r>
        <w:rPr>
          <w:rFonts w:ascii="Calibri" w:hAnsi="Calibri"/>
          <w:b/>
          <w:color w:val="525866"/>
          <w:sz w:val="22"/>
        </w:rPr>
        <w:t>asset-based fee (ABF) run rate</w:t>
      </w:r>
      <w:r>
        <w:rPr>
          <w:rFonts w:ascii="Calibri" w:hAnsi="Calibri"/>
          <w:color w:val="525866"/>
          <w:sz w:val="22"/>
        </w:rPr>
        <w:t xml:space="preserve"> is the dominant swing factor: consensus has revised the Q2 ABF run rate estimate up roughly 4.3% since the April 21 print (from ~$906M to ~$945M), reflecting the strong equity market performance and continued ETF inflows into MSCI-linked products through much of the quarter. The subscription side is also well-positioned — Index subscription run rate growth returned to double digits in Q1 at 10.7%, Private Capital Solutions accelerated to ~16% growth, and hedge fund and bank/broker-dealer client segments posted record Q1 sales; management's tone at the Barclays (May 5) and Bernstein (May 28) conferences was emphatic, with CFO Wiechmann describing "very good momentum across the business" and no change to the financial algorithm. Estimate revisions have moved decisively higher since the Q1 print — Q2 operating EPS consensus has risen from $4.85 to $4.98 and FY2026 EPS from $19.58 to $20.02 — suggesting the street is already pricing in a strong quarter, which raises the bar for a positive surprise. The stock has recovered sharply from a mid-June trough (MSCI hit ~$544 on June 25 before rebounding to ~$625 by July 17), and at ~29x NTM P/E the multiple has compressed modestly over 12 months, meaning the stock is not egregiously priced for perfection. The key wildcard is the </w:t>
      </w:r>
      <w:r>
        <w:rPr>
          <w:rFonts w:ascii="Calibri" w:hAnsi="Calibri"/>
          <w:b/>
          <w:color w:val="525866"/>
          <w:sz w:val="22"/>
        </w:rPr>
        <w:t>June 25 private assets webinar</w:t>
      </w:r>
      <w:r>
        <w:rPr>
          <w:rFonts w:ascii="Calibri" w:hAnsi="Calibri"/>
          <w:color w:val="525866"/>
          <w:sz w:val="22"/>
        </w:rPr>
        <w:t xml:space="preserve"> signal: management guided to "positive growth outlook" for the ~$300M private assets run rate segment, and any acceleration in PCS beyond the 16% Q1 pace — or a meaningful update on the Vantage/PM Insights integration — could be the incremental catalyst that drives a meaningful post-print move.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moderately high bar heading into Q2 — the ABF run rate estimate has been revised up ~4.3% since the Q1 print and is the bigger swing factor, while net new recurring subscription sales consensus of ~$52.7M is achievable given Q1's strong momentum. A miss on ABF (driven by market depreciation or weaker-than-expected ETF flows) would be the most likely source of disappointment.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Revenues ($M)</w:t>
            </w:r>
          </w:p>
        </w:tc>
        <w:tc>
          <w:tcPr>
            <w:tcW w:type="dxa" w:w="1234"/>
          </w:tcPr>
          <w:p>
            <w:r>
              <w:rPr>
                <w:rFonts w:ascii="Calibri" w:hAnsi="Calibri"/>
                <w:sz w:val="22"/>
              </w:rPr>
              <w:t>$850.8M</w:t>
            </w:r>
          </w:p>
        </w:tc>
        <w:tc>
          <w:tcPr>
            <w:tcW w:type="dxa" w:w="1234"/>
          </w:tcPr>
          <w:p>
            <w:r>
              <w:rPr>
                <w:rFonts w:ascii="Calibri" w:hAnsi="Calibri"/>
                <w:sz w:val="22"/>
              </w:rPr>
              <w:t>$772.7M</w:t>
            </w:r>
          </w:p>
        </w:tc>
        <w:tc>
          <w:tcPr>
            <w:tcW w:type="dxa" w:w="1234"/>
          </w:tcPr>
          <w:p>
            <w:r>
              <w:rPr>
                <w:rFonts w:ascii="Calibri" w:hAnsi="Calibri"/>
                <w:sz w:val="22"/>
              </w:rPr>
              <w:t>$869.4M</w:t>
            </w:r>
          </w:p>
        </w:tc>
        <w:tc>
          <w:tcPr>
            <w:tcW w:type="dxa" w:w="1234"/>
          </w:tcPr>
          <w:p>
            <w:r>
              <w:rPr>
                <w:rFonts w:ascii="Calibri" w:hAnsi="Calibri"/>
                <w:sz w:val="22"/>
              </w:rPr>
              <w:t>+12.5%</w:t>
            </w:r>
          </w:p>
        </w:tc>
        <w:tc>
          <w:tcPr>
            <w:tcW w:type="dxa" w:w="1234"/>
          </w:tcPr>
          <w:p>
            <w:r>
              <w:rPr>
                <w:rFonts w:ascii="Calibri" w:hAnsi="Calibri"/>
                <w:sz w:val="22"/>
              </w:rPr>
              <w:t>No Q2-specific revenue guidance</w:t>
            </w:r>
          </w:p>
        </w:tc>
        <w:tc>
          <w:tcPr>
            <w:tcW w:type="dxa" w:w="1234"/>
          </w:tcPr>
          <w:p>
            <w:r>
              <w:rPr>
                <w:rFonts w:ascii="Calibri" w:hAnsi="Calibri"/>
                <w:sz w:val="22"/>
              </w:rPr>
              <w:t>N/A</w:t>
            </w:r>
          </w:p>
        </w:tc>
      </w:tr>
      <w:tr>
        <w:tc>
          <w:tcPr>
            <w:tcW w:type="dxa" w:w="1234"/>
          </w:tcPr>
          <w:p>
            <w:r>
              <w:rPr>
                <w:rFonts w:ascii="Calibri" w:hAnsi="Calibri"/>
                <w:sz w:val="22"/>
              </w:rPr>
              <w:t>Adj. Operating EPS ($)</w:t>
            </w:r>
          </w:p>
        </w:tc>
        <w:tc>
          <w:tcPr>
            <w:tcW w:type="dxa" w:w="1234"/>
          </w:tcPr>
          <w:p>
            <w:r>
              <w:rPr>
                <w:rFonts w:ascii="Calibri" w:hAnsi="Calibri"/>
                <w:sz w:val="22"/>
              </w:rPr>
              <w:t>$4.55</w:t>
            </w:r>
          </w:p>
        </w:tc>
        <w:tc>
          <w:tcPr>
            <w:tcW w:type="dxa" w:w="1234"/>
          </w:tcPr>
          <w:p>
            <w:r>
              <w:rPr>
                <w:rFonts w:ascii="Calibri" w:hAnsi="Calibri"/>
                <w:sz w:val="22"/>
              </w:rPr>
              <w:t>$4.17</w:t>
            </w:r>
          </w:p>
        </w:tc>
        <w:tc>
          <w:tcPr>
            <w:tcW w:type="dxa" w:w="1234"/>
          </w:tcPr>
          <w:p>
            <w:r>
              <w:rPr>
                <w:rFonts w:ascii="Calibri" w:hAnsi="Calibri"/>
                <w:sz w:val="22"/>
              </w:rPr>
              <w:t>$4.98</w:t>
            </w:r>
          </w:p>
        </w:tc>
        <w:tc>
          <w:tcPr>
            <w:tcW w:type="dxa" w:w="1234"/>
          </w:tcPr>
          <w:p>
            <w:r>
              <w:rPr>
                <w:rFonts w:ascii="Calibri" w:hAnsi="Calibri"/>
                <w:sz w:val="22"/>
              </w:rPr>
              <w:t>+19.4%</w:t>
            </w:r>
          </w:p>
        </w:tc>
        <w:tc>
          <w:tcPr>
            <w:tcW w:type="dxa" w:w="1234"/>
          </w:tcPr>
          <w:p>
            <w:r>
              <w:rPr>
                <w:rFonts w:ascii="Calibri" w:hAnsi="Calibri"/>
                <w:sz w:val="22"/>
              </w:rPr>
              <w:t>Tax rate 18–20% (Q2 guidance)</w:t>
            </w:r>
          </w:p>
        </w:tc>
        <w:tc>
          <w:tcPr>
            <w:tcW w:type="dxa" w:w="1234"/>
          </w:tcPr>
          <w:p>
            <w:r>
              <w:rPr>
                <w:rFonts w:ascii="Calibri" w:hAnsi="Calibri"/>
                <w:sz w:val="22"/>
              </w:rPr>
              <w:t>N/A (EPS not guided)</w:t>
            </w:r>
          </w:p>
        </w:tc>
      </w:tr>
      <w:tr>
        <w:tc>
          <w:tcPr>
            <w:tcW w:type="dxa" w:w="1234"/>
          </w:tcPr>
          <w:p>
            <w:r>
              <w:rPr>
                <w:rFonts w:ascii="Calibri" w:hAnsi="Calibri"/>
                <w:sz w:val="22"/>
              </w:rPr>
              <w:t>ABF Run Rate — Index ($M)</w:t>
            </w:r>
          </w:p>
        </w:tc>
        <w:tc>
          <w:tcPr>
            <w:tcW w:type="dxa" w:w="1234"/>
          </w:tcPr>
          <w:p>
            <w:r>
              <w:rPr>
                <w:rFonts w:ascii="Calibri" w:hAnsi="Calibri"/>
                <w:sz w:val="22"/>
              </w:rPr>
              <w:t>$872.0M</w:t>
            </w:r>
          </w:p>
        </w:tc>
        <w:tc>
          <w:tcPr>
            <w:tcW w:type="dxa" w:w="1234"/>
          </w:tcPr>
          <w:p>
            <w:r>
              <w:rPr>
                <w:rFonts w:ascii="Calibri" w:hAnsi="Calibri"/>
                <w:sz w:val="22"/>
              </w:rPr>
              <w:t>$757.3M</w:t>
            </w:r>
          </w:p>
        </w:tc>
        <w:tc>
          <w:tcPr>
            <w:tcW w:type="dxa" w:w="1234"/>
          </w:tcPr>
          <w:p>
            <w:r>
              <w:rPr>
                <w:rFonts w:ascii="Calibri" w:hAnsi="Calibri"/>
                <w:sz w:val="22"/>
              </w:rPr>
              <w:t>$945.3M</w:t>
            </w:r>
          </w:p>
        </w:tc>
        <w:tc>
          <w:tcPr>
            <w:tcW w:type="dxa" w:w="1234"/>
          </w:tcPr>
          <w:p>
            <w:r>
              <w:rPr>
                <w:rFonts w:ascii="Calibri" w:hAnsi="Calibri"/>
                <w:sz w:val="22"/>
              </w:rPr>
              <w:t>+24.8%</w:t>
            </w:r>
          </w:p>
        </w:tc>
        <w:tc>
          <w:tcPr>
            <w:tcW w:type="dxa" w:w="1234"/>
          </w:tcPr>
          <w:p>
            <w:r>
              <w:rPr>
                <w:rFonts w:ascii="Calibri" w:hAnsi="Calibri"/>
                <w:sz w:val="22"/>
              </w:rPr>
              <w:t>No specific ABF guidance</w:t>
            </w:r>
          </w:p>
        </w:tc>
        <w:tc>
          <w:tcPr>
            <w:tcW w:type="dxa" w:w="1234"/>
          </w:tcPr>
          <w:p>
            <w:r>
              <w:rPr>
                <w:rFonts w:ascii="Calibri" w:hAnsi="Calibri"/>
                <w:sz w:val="22"/>
              </w:rPr>
              <w:t>N/A</w:t>
            </w:r>
          </w:p>
        </w:tc>
      </w:tr>
      <w:tr>
        <w:tc>
          <w:tcPr>
            <w:tcW w:type="dxa" w:w="1234"/>
          </w:tcPr>
          <w:p>
            <w:r>
              <w:rPr>
                <w:rFonts w:ascii="Calibri" w:hAnsi="Calibri"/>
                <w:sz w:val="22"/>
              </w:rPr>
              <w:t>Net New Recurring Subscription Sales ($M)</w:t>
            </w:r>
          </w:p>
        </w:tc>
        <w:tc>
          <w:tcPr>
            <w:tcW w:type="dxa" w:w="1234"/>
          </w:tcPr>
          <w:p>
            <w:r>
              <w:rPr>
                <w:rFonts w:ascii="Calibri" w:hAnsi="Calibri"/>
                <w:sz w:val="22"/>
              </w:rPr>
              <w:t>$39.6M</w:t>
            </w:r>
          </w:p>
        </w:tc>
        <w:tc>
          <w:tcPr>
            <w:tcW w:type="dxa" w:w="1234"/>
          </w:tcPr>
          <w:p>
            <w:r>
              <w:rPr>
                <w:rFonts w:ascii="Calibri" w:hAnsi="Calibri"/>
                <w:sz w:val="22"/>
              </w:rPr>
              <w:t>$43.8M</w:t>
            </w:r>
          </w:p>
        </w:tc>
        <w:tc>
          <w:tcPr>
            <w:tcW w:type="dxa" w:w="1234"/>
          </w:tcPr>
          <w:p>
            <w:r>
              <w:rPr>
                <w:rFonts w:ascii="Calibri" w:hAnsi="Calibri"/>
                <w:sz w:val="22"/>
              </w:rPr>
              <w:t>$52.7M</w:t>
            </w:r>
          </w:p>
        </w:tc>
        <w:tc>
          <w:tcPr>
            <w:tcW w:type="dxa" w:w="1234"/>
          </w:tcPr>
          <w:p>
            <w:r>
              <w:rPr>
                <w:rFonts w:ascii="Calibri" w:hAnsi="Calibri"/>
                <w:sz w:val="22"/>
              </w:rPr>
              <w:t>+20.2%</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Total Run Rate ($B)</w:t>
            </w:r>
          </w:p>
        </w:tc>
        <w:tc>
          <w:tcPr>
            <w:tcW w:type="dxa" w:w="1234"/>
          </w:tcPr>
          <w:p>
            <w:r>
              <w:rPr>
                <w:rFonts w:ascii="Calibri" w:hAnsi="Calibri"/>
                <w:sz w:val="22"/>
              </w:rPr>
              <w:t>$3.357B</w:t>
            </w:r>
          </w:p>
        </w:tc>
        <w:tc>
          <w:tcPr>
            <w:tcW w:type="dxa" w:w="1234"/>
          </w:tcPr>
          <w:p>
            <w:r>
              <w:rPr>
                <w:rFonts w:ascii="Calibri" w:hAnsi="Calibri"/>
                <w:sz w:val="22"/>
              </w:rPr>
              <w:t>$3.107B</w:t>
            </w:r>
          </w:p>
        </w:tc>
        <w:tc>
          <w:tcPr>
            <w:tcW w:type="dxa" w:w="1234"/>
          </w:tcPr>
          <w:p>
            <w:r>
              <w:rPr>
                <w:rFonts w:ascii="Calibri" w:hAnsi="Calibri"/>
                <w:sz w:val="22"/>
              </w:rPr>
              <w:t>$3.481B</w:t>
            </w:r>
          </w:p>
        </w:tc>
        <w:tc>
          <w:tcPr>
            <w:tcW w:type="dxa" w:w="1234"/>
          </w:tcPr>
          <w:p>
            <w:r>
              <w:rPr>
                <w:rFonts w:ascii="Calibri" w:hAnsi="Calibri"/>
                <w:sz w:val="22"/>
              </w:rPr>
              <w:t>+12.0%</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Adj. EBITDA Margin (%)</w:t>
            </w:r>
          </w:p>
        </w:tc>
        <w:tc>
          <w:tcPr>
            <w:tcW w:type="dxa" w:w="1234"/>
          </w:tcPr>
          <w:p>
            <w:r>
              <w:rPr>
                <w:rFonts w:ascii="Calibri" w:hAnsi="Calibri"/>
                <w:sz w:val="22"/>
              </w:rPr>
              <w:t>59.3%</w:t>
            </w:r>
          </w:p>
        </w:tc>
        <w:tc>
          <w:tcPr>
            <w:tcW w:type="dxa" w:w="1234"/>
          </w:tcPr>
          <w:p>
            <w:r>
              <w:rPr>
                <w:rFonts w:ascii="Calibri" w:hAnsi="Calibri"/>
                <w:sz w:val="22"/>
              </w:rPr>
              <w:t>61.4%</w:t>
            </w:r>
          </w:p>
        </w:tc>
        <w:tc>
          <w:tcPr>
            <w:tcW w:type="dxa" w:w="1234"/>
          </w:tcPr>
          <w:p>
            <w:r>
              <w:rPr>
                <w:rFonts w:ascii="Calibri" w:hAnsi="Calibri"/>
                <w:sz w:val="22"/>
              </w:rPr>
              <w:t>62.8%</w:t>
            </w:r>
          </w:p>
        </w:tc>
        <w:tc>
          <w:tcPr>
            <w:tcW w:type="dxa" w:w="1234"/>
          </w:tcPr>
          <w:p>
            <w:r>
              <w:rPr>
                <w:rFonts w:ascii="Calibri" w:hAnsi="Calibri"/>
                <w:sz w:val="22"/>
              </w:rPr>
              <w:t>+140 bps</w:t>
            </w:r>
          </w:p>
        </w:tc>
        <w:tc>
          <w:tcPr>
            <w:tcW w:type="dxa" w:w="1234"/>
          </w:tcPr>
          <w:p>
            <w:r>
              <w:rPr>
                <w:rFonts w:ascii="Calibri" w:hAnsi="Calibri"/>
                <w:sz w:val="22"/>
              </w:rPr>
              <w:t>Adj. EBITDA Expense: $1,305–$1,335M (FY)</w:t>
            </w:r>
          </w:p>
        </w:tc>
        <w:tc>
          <w:tcPr>
            <w:tcW w:type="dxa" w:w="1234"/>
          </w:tcPr>
          <w:p>
            <w:r>
              <w:rPr>
                <w:rFonts w:ascii="Calibri" w:hAnsi="Calibri"/>
                <w:sz w:val="22"/>
              </w:rPr>
              <w:t>Trending top half of expense range</w:t>
            </w:r>
          </w:p>
        </w:tc>
      </w:tr>
    </w:tbl>
    <w:p>
      <w:r>
        <w:rPr>
          <w:rFonts w:ascii="Calibri" w:hAnsi="Calibri"/>
          <w:i/>
          <w:color w:val="525866"/>
          <w:sz w:val="22"/>
        </w:rPr>
        <w:t>Sources: Visible Alpha Consensus and Actuals Data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$4.55</w:t>
            </w:r>
          </w:p>
        </w:tc>
        <w:tc>
          <w:tcPr>
            <w:tcW w:type="dxa" w:w="1728"/>
          </w:tcPr>
          <w:p>
            <w:r>
              <w:rPr>
                <w:rFonts w:ascii="Calibri" w:hAnsi="Calibri"/>
                <w:sz w:val="22"/>
              </w:rPr>
              <w:t>$4.44</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$4.66</w:t>
            </w:r>
          </w:p>
        </w:tc>
        <w:tc>
          <w:tcPr>
            <w:tcW w:type="dxa" w:w="1728"/>
          </w:tcPr>
          <w:p>
            <w:r>
              <w:rPr>
                <w:rFonts w:ascii="Calibri" w:hAnsi="Calibri"/>
                <w:sz w:val="22"/>
              </w:rPr>
              <w:t>$4.58</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$4.47</w:t>
            </w:r>
          </w:p>
        </w:tc>
        <w:tc>
          <w:tcPr>
            <w:tcW w:type="dxa" w:w="1728"/>
          </w:tcPr>
          <w:p>
            <w:r>
              <w:rPr>
                <w:rFonts w:ascii="Calibri" w:hAnsi="Calibri"/>
                <w:sz w:val="22"/>
              </w:rPr>
              <w:t>$4.36</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$4.17</w:t>
            </w:r>
          </w:p>
        </w:tc>
        <w:tc>
          <w:tcPr>
            <w:tcW w:type="dxa" w:w="1728"/>
          </w:tcPr>
          <w:p>
            <w:r>
              <w:rPr>
                <w:rFonts w:ascii="Calibri" w:hAnsi="Calibri"/>
                <w:sz w:val="22"/>
              </w:rPr>
              <w:t>$4.12</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$4.00</w:t>
            </w:r>
          </w:p>
        </w:tc>
        <w:tc>
          <w:tcPr>
            <w:tcW w:type="dxa" w:w="1728"/>
          </w:tcPr>
          <w:p>
            <w:r>
              <w:rPr>
                <w:rFonts w:ascii="Calibri" w:hAnsi="Calibri"/>
                <w:sz w:val="22"/>
              </w:rPr>
              <w:t>$3.88</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$4.18</w:t>
            </w:r>
          </w:p>
        </w:tc>
        <w:tc>
          <w:tcPr>
            <w:tcW w:type="dxa" w:w="1728"/>
          </w:tcPr>
          <w:p>
            <w:r>
              <w:rPr>
                <w:rFonts w:ascii="Calibri" w:hAnsi="Calibri"/>
                <w:sz w:val="22"/>
              </w:rPr>
              <w:t>$3.94</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$3.86</w:t>
            </w:r>
          </w:p>
        </w:tc>
        <w:tc>
          <w:tcPr>
            <w:tcW w:type="dxa" w:w="1728"/>
          </w:tcPr>
          <w:p>
            <w:r>
              <w:rPr>
                <w:rFonts w:ascii="Calibri" w:hAnsi="Calibri"/>
                <w:sz w:val="22"/>
              </w:rPr>
              <w:t>$3.78</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ABF Run Rate — Index</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$872.0M</w:t>
            </w:r>
          </w:p>
        </w:tc>
        <w:tc>
          <w:tcPr>
            <w:tcW w:type="dxa" w:w="1728"/>
          </w:tcPr>
          <w:p>
            <w:r>
              <w:rPr>
                <w:rFonts w:ascii="Calibri" w:hAnsi="Calibri"/>
                <w:sz w:val="22"/>
              </w:rPr>
              <w:t>$870.8M</w:t>
            </w:r>
          </w:p>
        </w:tc>
        <w:tc>
          <w:tcPr>
            <w:tcW w:type="dxa" w:w="1728"/>
          </w:tcPr>
          <w:p>
            <w:r>
              <w:rPr>
                <w:rFonts w:ascii="Calibri" w:hAnsi="Calibri"/>
                <w:b/>
                <w:color w:val="30A46C"/>
                <w:sz w:val="22"/>
              </w:rPr>
              <w:t>+0.1%</w:t>
            </w:r>
          </w:p>
        </w:tc>
        <w:tc>
          <w:tcPr>
            <w:tcW w:type="dxa" w:w="1728"/>
          </w:tcPr>
          <w:p>
            <w:r>
              <w:rPr>
                <w:rFonts w:ascii="Calibri" w:hAnsi="Calibri"/>
                <w:b/>
                <w:color w:val="30A46C"/>
                <w:sz w:val="22"/>
              </w:rPr>
              <w:t>Slight Beat</w:t>
            </w:r>
          </w:p>
        </w:tc>
      </w:tr>
      <w:tr>
        <w:tc>
          <w:tcPr>
            <w:tcW w:type="dxa" w:w="1728"/>
          </w:tcPr>
          <w:p>
            <w:r>
              <w:rPr>
                <w:rFonts w:ascii="Calibri" w:hAnsi="Calibri"/>
                <w:sz w:val="22"/>
              </w:rPr>
              <w:t>Q4 2025</w:t>
            </w:r>
          </w:p>
        </w:tc>
        <w:tc>
          <w:tcPr>
            <w:tcW w:type="dxa" w:w="1728"/>
          </w:tcPr>
          <w:p>
            <w:r>
              <w:rPr>
                <w:rFonts w:ascii="Calibri" w:hAnsi="Calibri"/>
                <w:sz w:val="22"/>
              </w:rPr>
              <w:t>$852.5M</w:t>
            </w:r>
          </w:p>
        </w:tc>
        <w:tc>
          <w:tcPr>
            <w:tcW w:type="dxa" w:w="1728"/>
          </w:tcPr>
          <w:p>
            <w:r>
              <w:rPr>
                <w:rFonts w:ascii="Calibri" w:hAnsi="Calibri"/>
                <w:sz w:val="22"/>
              </w:rPr>
              <w:t>$835.6M</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$799.7M</w:t>
            </w:r>
          </w:p>
        </w:tc>
        <w:tc>
          <w:tcPr>
            <w:tcW w:type="dxa" w:w="1728"/>
          </w:tcPr>
          <w:p>
            <w:r>
              <w:rPr>
                <w:rFonts w:ascii="Calibri" w:hAnsi="Calibri"/>
                <w:sz w:val="22"/>
              </w:rPr>
              <w:t>$772.5M</w:t>
            </w:r>
          </w:p>
        </w:tc>
        <w:tc>
          <w:tcPr>
            <w:tcW w:type="dxa" w:w="1728"/>
          </w:tcPr>
          <w:p>
            <w:r>
              <w:rPr>
                <w:rFonts w:ascii="Calibri" w:hAnsi="Calibri"/>
                <w:b/>
                <w:color w:val="30A46C"/>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$757.3M</w:t>
            </w:r>
          </w:p>
        </w:tc>
        <w:tc>
          <w:tcPr>
            <w:tcW w:type="dxa" w:w="1728"/>
          </w:tcPr>
          <w:p>
            <w:r>
              <w:rPr>
                <w:rFonts w:ascii="Calibri" w:hAnsi="Calibri"/>
                <w:sz w:val="22"/>
              </w:rPr>
              <w:t>$735.3M</w:t>
            </w:r>
          </w:p>
        </w:tc>
        <w:tc>
          <w:tcPr>
            <w:tcW w:type="dxa" w:w="1728"/>
          </w:tcPr>
          <w:p>
            <w:r>
              <w:rPr>
                <w:rFonts w:ascii="Calibri" w:hAnsi="Calibri"/>
                <w:b/>
                <w:color w:val="30A46C"/>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$697.2M</w:t>
            </w:r>
          </w:p>
        </w:tc>
        <w:tc>
          <w:tcPr>
            <w:tcW w:type="dxa" w:w="1728"/>
          </w:tcPr>
          <w:p>
            <w:r>
              <w:rPr>
                <w:rFonts w:ascii="Calibri" w:hAnsi="Calibri"/>
                <w:sz w:val="22"/>
              </w:rPr>
              <w:t>$694.8M</w:t>
            </w:r>
          </w:p>
        </w:tc>
        <w:tc>
          <w:tcPr>
            <w:tcW w:type="dxa" w:w="1728"/>
          </w:tcPr>
          <w:p>
            <w:r>
              <w:rPr>
                <w:rFonts w:ascii="Calibri" w:hAnsi="Calibri"/>
                <w:b/>
                <w:color w:val="30A46C"/>
                <w:sz w:val="22"/>
              </w:rPr>
              <w:t>+0.4%</w:t>
            </w:r>
          </w:p>
        </w:tc>
        <w:tc>
          <w:tcPr>
            <w:tcW w:type="dxa" w:w="1728"/>
          </w:tcPr>
          <w:p>
            <w:r>
              <w:rPr>
                <w:rFonts w:ascii="Calibri" w:hAnsi="Calibri"/>
                <w:b/>
                <w:color w:val="30A46C"/>
                <w:sz w:val="22"/>
              </w:rPr>
              <w:t>Slight Beat</w:t>
            </w:r>
          </w:p>
        </w:tc>
      </w:tr>
      <w:tr>
        <w:tc>
          <w:tcPr>
            <w:tcW w:type="dxa" w:w="1728"/>
          </w:tcPr>
          <w:p>
            <w:r>
              <w:rPr>
                <w:rFonts w:ascii="Calibri" w:hAnsi="Calibri"/>
                <w:sz w:val="22"/>
              </w:rPr>
              <w:t>Q4 2024</w:t>
            </w:r>
          </w:p>
        </w:tc>
        <w:tc>
          <w:tcPr>
            <w:tcW w:type="dxa" w:w="1728"/>
          </w:tcPr>
          <w:p>
            <w:r>
              <w:rPr>
                <w:rFonts w:ascii="Calibri" w:hAnsi="Calibri"/>
                <w:sz w:val="22"/>
              </w:rPr>
              <w:t>$678.6M</w:t>
            </w:r>
          </w:p>
        </w:tc>
        <w:tc>
          <w:tcPr>
            <w:tcW w:type="dxa" w:w="1728"/>
          </w:tcPr>
          <w:p>
            <w:r>
              <w:rPr>
                <w:rFonts w:ascii="Calibri" w:hAnsi="Calibri"/>
                <w:sz w:val="22"/>
              </w:rPr>
              <w:t>$678.3M</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$683.5M</w:t>
            </w:r>
          </w:p>
        </w:tc>
        <w:tc>
          <w:tcPr>
            <w:tcW w:type="dxa" w:w="1728"/>
          </w:tcPr>
          <w:p>
            <w:r>
              <w:rPr>
                <w:rFonts w:ascii="Calibri" w:hAnsi="Calibri"/>
                <w:sz w:val="22"/>
              </w:rPr>
              <w:t>$670.9M</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MSCI has beaten adjusted operating EPS consensus in every quarter shown, with the magnitude of beats ranging from +1.2% to +6.1% — a remarkably consistent track record that reflects both conservative guidance and strong execution. ABF run rate beats have been similarly consistent, though the Q1 2026 beat was narrow (+0.1%), suggesting the street had already priced in the record ETF inflow environment.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financial guidance has been revised since the April 21 Q1 earnings call — all FY2026 guidance items are unchanged except D&amp;A (raised $5M for acquisition intangibles). Management tone at post-earnings conferences has been consistently bullish, with CFO Wiechmann explicitly stating "no change to our financial model" and describing momentum as "very good" across all segments.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Operating Expense (FY)</w:t>
            </w:r>
          </w:p>
        </w:tc>
        <w:tc>
          <w:tcPr>
            <w:tcW w:type="dxa" w:w="1728"/>
          </w:tcPr>
          <w:p>
            <w:r>
              <w:rPr>
                <w:rFonts w:ascii="Calibri" w:hAnsi="Calibri"/>
                <w:sz w:val="22"/>
              </w:rPr>
              <w:t>$1,490–$1,530M</w:t>
            </w:r>
          </w:p>
        </w:tc>
        <w:tc>
          <w:tcPr>
            <w:tcW w:type="dxa" w:w="1728"/>
          </w:tcPr>
          <w:p>
            <w:r>
              <w:rPr>
                <w:rFonts w:ascii="Calibri" w:hAnsi="Calibri"/>
                <w:sz w:val="22"/>
              </w:rPr>
              <w:t>—</w:t>
            </w:r>
          </w:p>
        </w:tc>
        <w:tc>
          <w:tcPr>
            <w:tcW w:type="dxa" w:w="1728"/>
          </w:tcPr>
          <w:p>
            <w:r>
              <w:rPr>
                <w:rFonts w:ascii="Calibri" w:hAnsi="Calibri"/>
                <w:sz w:val="22"/>
              </w:rPr>
              <w:t>N/A (not tracked separately)</w:t>
            </w:r>
          </w:p>
        </w:tc>
        <w:tc>
          <w:tcPr>
            <w:tcW w:type="dxa" w:w="1728"/>
          </w:tcPr>
          <w:p>
            <w:r>
              <w:rPr>
                <w:rFonts w:ascii="Calibri" w:hAnsi="Calibri"/>
                <w:sz w:val="22"/>
              </w:rPr>
              <w:t>Unchanged; trending top half of range given strong ABF</w:t>
            </w:r>
          </w:p>
        </w:tc>
      </w:tr>
      <w:tr>
        <w:tc>
          <w:tcPr>
            <w:tcW w:type="dxa" w:w="1728"/>
          </w:tcPr>
          <w:p>
            <w:r>
              <w:rPr>
                <w:rFonts w:ascii="Calibri" w:hAnsi="Calibri"/>
                <w:sz w:val="22"/>
              </w:rPr>
              <w:t>Adj. EBITDA Expense (FY)</w:t>
            </w:r>
          </w:p>
        </w:tc>
        <w:tc>
          <w:tcPr>
            <w:tcW w:type="dxa" w:w="1728"/>
          </w:tcPr>
          <w:p>
            <w:r>
              <w:rPr>
                <w:rFonts w:ascii="Calibri" w:hAnsi="Calibri"/>
                <w:sz w:val="22"/>
              </w:rPr>
              <w:t>$1,305–$1,335M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trending to top half of range</w:t>
            </w:r>
          </w:p>
        </w:tc>
      </w:tr>
      <w:tr>
        <w:tc>
          <w:tcPr>
            <w:tcW w:type="dxa" w:w="1728"/>
          </w:tcPr>
          <w:p>
            <w:r>
              <w:rPr>
                <w:rFonts w:ascii="Calibri" w:hAnsi="Calibri"/>
                <w:sz w:val="22"/>
              </w:rPr>
              <w:t>D&amp;A Expense (FY)</w:t>
            </w:r>
          </w:p>
        </w:tc>
        <w:tc>
          <w:tcPr>
            <w:tcW w:type="dxa" w:w="1728"/>
          </w:tcPr>
          <w:p>
            <w:r>
              <w:rPr>
                <w:rFonts w:ascii="Calibri" w:hAnsi="Calibri"/>
                <w:sz w:val="22"/>
              </w:rPr>
              <w:t>$185–$195M (prior)</w:t>
            </w:r>
          </w:p>
        </w:tc>
        <w:tc>
          <w:tcPr>
            <w:tcW w:type="dxa" w:w="1728"/>
          </w:tcPr>
          <w:p>
            <w:r>
              <w:rPr>
                <w:rFonts w:ascii="Calibri" w:hAnsi="Calibri"/>
                <w:sz w:val="22"/>
              </w:rPr>
              <w:t>$190–$200M</w:t>
            </w:r>
          </w:p>
        </w:tc>
        <w:tc>
          <w:tcPr>
            <w:tcW w:type="dxa" w:w="1728"/>
          </w:tcPr>
          <w:p>
            <w:r>
              <w:rPr>
                <w:rFonts w:ascii="Calibri" w:hAnsi="Calibri"/>
                <w:sz w:val="22"/>
              </w:rPr>
              <w:t>N/A</w:t>
            </w:r>
          </w:p>
        </w:tc>
        <w:tc>
          <w:tcPr>
            <w:tcW w:type="dxa" w:w="1728"/>
          </w:tcPr>
          <w:p>
            <w:r>
              <w:rPr>
                <w:rFonts w:ascii="Calibri" w:hAnsi="Calibri"/>
                <w:sz w:val="22"/>
              </w:rPr>
              <w:t>↑ Raised $5M at Q1 earnings call (Apr 21) to incorporate acquisition-related intangibles (Vantage, PM Insights, Compass)</w:t>
            </w:r>
          </w:p>
        </w:tc>
      </w:tr>
      <w:tr>
        <w:tc>
          <w:tcPr>
            <w:tcW w:type="dxa" w:w="1728"/>
          </w:tcPr>
          <w:p>
            <w:r>
              <w:rPr>
                <w:rFonts w:ascii="Calibri" w:hAnsi="Calibri"/>
                <w:sz w:val="22"/>
              </w:rPr>
              <w:t>Interest Expense (FY)</w:t>
            </w:r>
          </w:p>
        </w:tc>
        <w:tc>
          <w:tcPr>
            <w:tcW w:type="dxa" w:w="1728"/>
          </w:tcPr>
          <w:p>
            <w:r>
              <w:rPr>
                <w:rFonts w:ascii="Calibri" w:hAnsi="Calibri"/>
                <w:sz w:val="22"/>
              </w:rPr>
              <w:t>$274–$280M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Effective Tax Rate (FY)</w:t>
            </w:r>
          </w:p>
        </w:tc>
        <w:tc>
          <w:tcPr>
            <w:tcW w:type="dxa" w:w="1728"/>
          </w:tcPr>
          <w:p>
            <w:r>
              <w:rPr>
                <w:rFonts w:ascii="Calibri" w:hAnsi="Calibri"/>
                <w:sz w:val="22"/>
              </w:rPr>
              <w:t>18.0–20.0%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Q2 2026 tax rate guided 18–20%</w:t>
            </w:r>
          </w:p>
        </w:tc>
      </w:tr>
      <w:tr>
        <w:tc>
          <w:tcPr>
            <w:tcW w:type="dxa" w:w="1728"/>
          </w:tcPr>
          <w:p>
            <w:r>
              <w:rPr>
                <w:rFonts w:ascii="Calibri" w:hAnsi="Calibri"/>
                <w:sz w:val="22"/>
              </w:rPr>
              <w:t>CapEx (FY)</w:t>
            </w:r>
          </w:p>
        </w:tc>
        <w:tc>
          <w:tcPr>
            <w:tcW w:type="dxa" w:w="1728"/>
          </w:tcPr>
          <w:p>
            <w:r>
              <w:rPr>
                <w:rFonts w:ascii="Calibri" w:hAnsi="Calibri"/>
                <w:sz w:val="22"/>
              </w:rPr>
              <w:t>$160–$170M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Free Cash Flow (FY)</w:t>
            </w:r>
          </w:p>
        </w:tc>
        <w:tc>
          <w:tcPr>
            <w:tcW w:type="dxa" w:w="1728"/>
          </w:tcPr>
          <w:p>
            <w:r>
              <w:rPr>
                <w:rFonts w:ascii="Calibri" w:hAnsi="Calibri"/>
                <w:sz w:val="22"/>
              </w:rPr>
              <w:t>$1,470–$1,530M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Q2 is seasonally highest quarter for cash tax payments</w:t>
            </w:r>
          </w:p>
        </w:tc>
      </w:tr>
      <w:tr>
        <w:tc>
          <w:tcPr>
            <w:tcW w:type="dxa" w:w="1728"/>
          </w:tcPr>
          <w:p>
            <w:r>
              <w:rPr>
                <w:rFonts w:ascii="Calibri" w:hAnsi="Calibri"/>
                <w:sz w:val="22"/>
              </w:rPr>
              <w:t>Analytics Revenue Growth (Q2)</w:t>
            </w:r>
          </w:p>
        </w:tc>
        <w:tc>
          <w:tcPr>
            <w:tcW w:type="dxa" w:w="1728"/>
          </w:tcPr>
          <w:p>
            <w:r>
              <w:rPr>
                <w:rFonts w:ascii="Calibri" w:hAnsi="Calibri"/>
                <w:sz w:val="22"/>
              </w:rPr>
              <w:t>~5% YoY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Only segment-specific Q2 guidance provided; unchanged</w:t>
            </w:r>
          </w:p>
        </w:tc>
      </w:tr>
    </w:tbl>
    <w:p>
      <w:r>
        <w:rPr>
          <w:rFonts w:ascii="Calibri" w:hAnsi="Calibri"/>
          <w:i/>
          <w:color w:val="525866"/>
          <w:sz w:val="22"/>
        </w:rPr>
        <w:t>Source: MSCI Q1 2026 Earnings Release (April 21, 2026); MSCI Q1 2026 Earnings Call Transcript (April 21,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decisively higher since the Q1 print — Q2 operating EPS consensus is up +2.8% and FY2026 EPS up +2.2% since April 28 (5 trading days post-earnings), while the ABF run rate estimate for Q2 has surged +4.3% as the market priced in continued strong ETF inflows. The revision trajectory is bullish and tracking well above the initial post-print baseline, suggesting the street has conviction in MSCI's momentum.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Operating EPS — Q2 2026</w:t>
            </w:r>
          </w:p>
        </w:tc>
        <w:tc>
          <w:tcPr>
            <w:tcW w:type="dxa" w:w="1080"/>
          </w:tcPr>
          <w:p>
            <w:r>
              <w:rPr>
                <w:rFonts w:ascii="Calibri" w:hAnsi="Calibri"/>
                <w:sz w:val="22"/>
              </w:rPr>
              <w:t>$4.85</w:t>
            </w:r>
          </w:p>
        </w:tc>
        <w:tc>
          <w:tcPr>
            <w:tcW w:type="dxa" w:w="1080"/>
          </w:tcPr>
          <w:p>
            <w:r>
              <w:rPr>
                <w:rFonts w:ascii="Calibri" w:hAnsi="Calibri"/>
                <w:sz w:val="22"/>
              </w:rPr>
              <w:t>$4.98</w:t>
            </w:r>
          </w:p>
        </w:tc>
        <w:tc>
          <w:tcPr>
            <w:tcW w:type="dxa" w:w="1080"/>
          </w:tcPr>
          <w:p>
            <w:r>
              <w:rPr>
                <w:rFonts w:ascii="Calibri" w:hAnsi="Calibri"/>
                <w:b/>
                <w:color w:val="30A46C"/>
                <w:sz w:val="22"/>
              </w:rPr>
              <w:t>+2.8%</w:t>
            </w:r>
          </w:p>
        </w:tc>
        <w:tc>
          <w:tcPr>
            <w:tcW w:type="dxa" w:w="1080"/>
          </w:tcPr>
          <w:p>
            <w:r>
              <w:rPr>
                <w:rFonts w:ascii="Calibri" w:hAnsi="Calibri"/>
                <w:sz w:val="22"/>
              </w:rPr>
              <w:t>No Q2 EPS guidance</w:t>
            </w:r>
          </w:p>
        </w:tc>
        <w:tc>
          <w:tcPr>
            <w:tcW w:type="dxa" w:w="1080"/>
          </w:tcPr>
          <w:p>
            <w:r>
              <w:rPr>
                <w:rFonts w:ascii="Calibri" w:hAnsi="Calibri"/>
                <w:sz w:val="22"/>
              </w:rPr>
              <w:t>No Q2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FY2026</w:t>
            </w:r>
          </w:p>
        </w:tc>
        <w:tc>
          <w:tcPr>
            <w:tcW w:type="dxa" w:w="1080"/>
          </w:tcPr>
          <w:p>
            <w:r>
              <w:rPr>
                <w:rFonts w:ascii="Calibri" w:hAnsi="Calibri"/>
                <w:sz w:val="22"/>
              </w:rPr>
              <w:t>$19.58</w:t>
            </w:r>
          </w:p>
        </w:tc>
        <w:tc>
          <w:tcPr>
            <w:tcW w:type="dxa" w:w="1080"/>
          </w:tcPr>
          <w:p>
            <w:r>
              <w:rPr>
                <w:rFonts w:ascii="Calibri" w:hAnsi="Calibri"/>
                <w:sz w:val="22"/>
              </w:rPr>
              <w:t>$20.02</w:t>
            </w:r>
          </w:p>
        </w:tc>
        <w:tc>
          <w:tcPr>
            <w:tcW w:type="dxa" w:w="1080"/>
          </w:tcPr>
          <w:p>
            <w:r>
              <w:rPr>
                <w:rFonts w:ascii="Calibri" w:hAnsi="Calibri"/>
                <w:b/>
                <w:color w:val="30A46C"/>
                <w:sz w:val="22"/>
              </w:rPr>
              <w:t>+2.2%</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ABF Run Rate — Index, Q2 2026</w:t>
            </w:r>
          </w:p>
        </w:tc>
        <w:tc>
          <w:tcPr>
            <w:tcW w:type="dxa" w:w="1080"/>
          </w:tcPr>
          <w:p>
            <w:r>
              <w:rPr>
                <w:rFonts w:ascii="Calibri" w:hAnsi="Calibri"/>
                <w:sz w:val="22"/>
              </w:rPr>
              <w:t>$906.5M</w:t>
            </w:r>
          </w:p>
        </w:tc>
        <w:tc>
          <w:tcPr>
            <w:tcW w:type="dxa" w:w="1080"/>
          </w:tcPr>
          <w:p>
            <w:r>
              <w:rPr>
                <w:rFonts w:ascii="Calibri" w:hAnsi="Calibri"/>
                <w:sz w:val="22"/>
              </w:rPr>
              <w:t>$945.3M</w:t>
            </w:r>
          </w:p>
        </w:tc>
        <w:tc>
          <w:tcPr>
            <w:tcW w:type="dxa" w:w="1080"/>
          </w:tcPr>
          <w:p>
            <w:r>
              <w:rPr>
                <w:rFonts w:ascii="Calibri" w:hAnsi="Calibri"/>
                <w:b/>
                <w:color w:val="30A46C"/>
                <w:sz w:val="22"/>
              </w:rPr>
              <w:t>+4.3%</w:t>
            </w:r>
          </w:p>
        </w:tc>
        <w:tc>
          <w:tcPr>
            <w:tcW w:type="dxa" w:w="1080"/>
          </w:tcPr>
          <w:p>
            <w:r>
              <w:rPr>
                <w:rFonts w:ascii="Calibri" w:hAnsi="Calibri"/>
                <w:sz w:val="22"/>
              </w:rPr>
              <w:t>No specific ABF guidance</w:t>
            </w:r>
          </w:p>
        </w:tc>
        <w:tc>
          <w:tcPr>
            <w:tcW w:type="dxa" w:w="1080"/>
          </w:tcPr>
          <w:p>
            <w:r>
              <w:rPr>
                <w:rFonts w:ascii="Calibri" w:hAnsi="Calibri"/>
                <w:sz w:val="22"/>
              </w:rPr>
              <w:t>No specific ABF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ABF Run Rate — Index, FY2026</w:t>
            </w:r>
          </w:p>
        </w:tc>
        <w:tc>
          <w:tcPr>
            <w:tcW w:type="dxa" w:w="1080"/>
          </w:tcPr>
          <w:p>
            <w:r>
              <w:rPr>
                <w:rFonts w:ascii="Calibri" w:hAnsi="Calibri"/>
                <w:sz w:val="22"/>
              </w:rPr>
              <w:t>$936.1M</w:t>
            </w:r>
          </w:p>
        </w:tc>
        <w:tc>
          <w:tcPr>
            <w:tcW w:type="dxa" w:w="1080"/>
          </w:tcPr>
          <w:p>
            <w:r>
              <w:rPr>
                <w:rFonts w:ascii="Calibri" w:hAnsi="Calibri"/>
                <w:sz w:val="22"/>
              </w:rPr>
              <w:t>$980.1M</w:t>
            </w:r>
          </w:p>
        </w:tc>
        <w:tc>
          <w:tcPr>
            <w:tcW w:type="dxa" w:w="1080"/>
          </w:tcPr>
          <w:p>
            <w:r>
              <w:rPr>
                <w:rFonts w:ascii="Calibri" w:hAnsi="Calibri"/>
                <w:b/>
                <w:color w:val="30A46C"/>
                <w:sz w:val="22"/>
              </w:rPr>
              <w:t>+4.7%</w:t>
            </w:r>
          </w:p>
        </w:tc>
        <w:tc>
          <w:tcPr>
            <w:tcW w:type="dxa" w:w="1080"/>
          </w:tcPr>
          <w:p>
            <w:r>
              <w:rPr>
                <w:rFonts w:ascii="Calibri" w:hAnsi="Calibri"/>
                <w:sz w:val="22"/>
              </w:rPr>
              <w:t>No specific ABF guidance</w:t>
            </w:r>
          </w:p>
        </w:tc>
        <w:tc>
          <w:tcPr>
            <w:tcW w:type="dxa" w:w="1080"/>
          </w:tcPr>
          <w:p>
            <w:r>
              <w:rPr>
                <w:rFonts w:ascii="Calibri" w:hAnsi="Calibri"/>
                <w:sz w:val="22"/>
              </w:rPr>
              <w:t>No specific ABF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Revenues — Q2 2026</w:t>
            </w:r>
          </w:p>
        </w:tc>
        <w:tc>
          <w:tcPr>
            <w:tcW w:type="dxa" w:w="1080"/>
          </w:tcPr>
          <w:p>
            <w:r>
              <w:rPr>
                <w:rFonts w:ascii="Calibri" w:hAnsi="Calibri"/>
                <w:sz w:val="22"/>
              </w:rPr>
              <w:t>$857.6M</w:t>
            </w:r>
          </w:p>
        </w:tc>
        <w:tc>
          <w:tcPr>
            <w:tcW w:type="dxa" w:w="1080"/>
          </w:tcPr>
          <w:p>
            <w:r>
              <w:rPr>
                <w:rFonts w:ascii="Calibri" w:hAnsi="Calibri"/>
                <w:sz w:val="22"/>
              </w:rPr>
              <w:t>$869.4M</w:t>
            </w:r>
          </w:p>
        </w:tc>
        <w:tc>
          <w:tcPr>
            <w:tcW w:type="dxa" w:w="1080"/>
          </w:tcPr>
          <w:p>
            <w:r>
              <w:rPr>
                <w:rFonts w:ascii="Calibri" w:hAnsi="Calibri"/>
                <w:b/>
                <w:color w:val="30A46C"/>
                <w:sz w:val="22"/>
              </w:rPr>
              <w:t>+1.4%</w:t>
            </w:r>
          </w:p>
        </w:tc>
        <w:tc>
          <w:tcPr>
            <w:tcW w:type="dxa" w:w="1080"/>
          </w:tcPr>
          <w:p>
            <w:r>
              <w:rPr>
                <w:rFonts w:ascii="Calibri" w:hAnsi="Calibri"/>
                <w:sz w:val="22"/>
              </w:rPr>
              <w:t>No Q2 revenue guidance</w:t>
            </w:r>
          </w:p>
        </w:tc>
        <w:tc>
          <w:tcPr>
            <w:tcW w:type="dxa" w:w="1080"/>
          </w:tcPr>
          <w:p>
            <w:r>
              <w:rPr>
                <w:rFonts w:ascii="Calibri" w:hAnsi="Calibri"/>
                <w:sz w:val="22"/>
              </w:rPr>
              <w:t>No Q2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Revenues — FY2026</w:t>
            </w:r>
          </w:p>
        </w:tc>
        <w:tc>
          <w:tcPr>
            <w:tcW w:type="dxa" w:w="1080"/>
          </w:tcPr>
          <w:p>
            <w:r>
              <w:rPr>
                <w:rFonts w:ascii="Calibri" w:hAnsi="Calibri"/>
                <w:sz w:val="22"/>
              </w:rPr>
              <w:t>$3,478.9M</w:t>
            </w:r>
          </w:p>
        </w:tc>
        <w:tc>
          <w:tcPr>
            <w:tcW w:type="dxa" w:w="1080"/>
          </w:tcPr>
          <w:p>
            <w:r>
              <w:rPr>
                <w:rFonts w:ascii="Calibri" w:hAnsi="Calibri"/>
                <w:sz w:val="22"/>
              </w:rPr>
              <w:t>$3,516.4M</w:t>
            </w:r>
          </w:p>
        </w:tc>
        <w:tc>
          <w:tcPr>
            <w:tcW w:type="dxa" w:w="1080"/>
          </w:tcPr>
          <w:p>
            <w:r>
              <w:rPr>
                <w:rFonts w:ascii="Calibri" w:hAnsi="Calibri"/>
                <w:b/>
                <w:color w:val="30A46C"/>
                <w:sz w:val="22"/>
              </w:rPr>
              <w:t>+1.1%</w:t>
            </w:r>
          </w:p>
        </w:tc>
        <w:tc>
          <w:tcPr>
            <w:tcW w:type="dxa" w:w="1080"/>
          </w:tcPr>
          <w:p>
            <w:r>
              <w:rPr>
                <w:rFonts w:ascii="Calibri" w:hAnsi="Calibri"/>
                <w:sz w:val="22"/>
              </w:rPr>
              <w:t>No FY revenue guidance</w:t>
            </w:r>
          </w:p>
        </w:tc>
        <w:tc>
          <w:tcPr>
            <w:tcW w:type="dxa" w:w="1080"/>
          </w:tcPr>
          <w:p>
            <w:r>
              <w:rPr>
                <w:rFonts w:ascii="Calibri" w:hAnsi="Calibri"/>
                <w:sz w:val="22"/>
              </w:rPr>
              <w:t>No FY revenue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The most notable revision is in the ABF run rate, which has been revised up +4.3% for Q2 and +4.7% for FY2026 since the post-Q1 baseline — driven by the equity market recovery from the April tariff-shock lows and continued strong ETF inflows into international/EM products linked to MSCI indices. EPS revisions (+2.8% for Q2, +2.2% for FY) are tracking above the ABF revision pace, suggesting the street is also modeling some operating leverage benefit. MSCI does not provide explicit revenue or EPS guidance, so all consensus vs. guidance comparisons are N/A.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MSCI has underperformed the KCE Capital Markets ETF since the Q1 print (+4.7% vs. KCE +2.9%), with the stock's trajectory driven primarily by estimate revisions (EPS up +2.8%) rather than multiple expansion — the NTM P/E has compressed modestly from ~30.4x to ~29.0x over 6 months, suggesting the stock's gains are fundamentals-driven and more durable than sentiment-driven moves.</w:t>
      </w:r>
    </w:p>
    <w:p>
      <w:r>
        <w:rPr>
          <w:rFonts w:ascii="Calibri" w:hAnsi="Calibri"/>
          <w:color w:val="525866"/>
          <w:sz w:val="22"/>
        </w:rPr>
        <w:t xml:space="preserve">Since the Q1 2026 earnings date (April 21, 2026), MSCI opened at $597.39 and closed at $625.11 on July 21, 2026 (the day of Q2 earnings), a gain of approximately </w:t>
      </w:r>
      <w:r>
        <w:rPr>
          <w:rFonts w:ascii="Calibri" w:hAnsi="Calibri"/>
          <w:b/>
          <w:color w:val="525866"/>
          <w:sz w:val="22"/>
        </w:rPr>
        <w:t>+4.7%</w:t>
      </w:r>
      <w:r>
        <w:rPr>
          <w:rFonts w:ascii="Calibri" w:hAnsi="Calibri"/>
          <w:color w:val="525866"/>
          <w:sz w:val="22"/>
        </w:rPr>
        <w:t>. The path was volatile: the stock initially pulled back to ~$561 by mid-May as macro uncertainty weighed, then surged to a high of ~$644 on June 1 as equity markets recovered and ETF flow data remained strong, before a sharp correction to ~$545 on June 25 (coinciding with the private assets webinar — likely a sell-the-news reaction). The stock then recovered strongly through July, reaching ~$637 on July 16 before settling near $625 ahead of earnings. The S&amp;P 500 (SPY) gained approximately +5.4% over the same period, while the KCE Capital Markets ETF gained approximately +2.9%, making MSCI a slight outperformer vs. KCE but a slight underperformer vs. the broad market. The 3-month performance (+9.96%) is driven roughly equally by earnings growth and modest multiple expansion (+5.0% on EV/EBITDA), while the 12-month picture shows multiple compression (-9.2% on EV/EBITDA) offsetting strong earnings growth to produce a modest +7.75% total return. Source: Stock Price Data; Visible Alpha Consensus and Actuals Data.</w:t>
      </w:r>
    </w:p>
    <w:p>
      <w:r>
        <w:rPr>
          <w:rFonts w:ascii="Calibri" w:hAnsi="Calibri"/>
          <w:b/>
          <w:color w:val="525866"/>
          <w:sz w:val="22"/>
        </w:rPr>
        <w:t>Key Events Marked on Chart:</w:t>
      </w:r>
    </w:p>
    <w:p>
      <w:pPr>
        <w:pStyle w:val="ListBullet"/>
        <w:ind w:left="360" w:hanging="360"/>
      </w:pPr>
      <w:r>
        <w:rPr>
          <w:rFonts w:ascii="Calibri" w:hAnsi="Calibri"/>
          <w:b/>
          <w:color w:val="525866"/>
          <w:sz w:val="22"/>
        </w:rPr>
        <w:t>Apr 21, 2026:</w:t>
      </w:r>
      <w:r>
        <w:rPr>
          <w:rFonts w:ascii="Calibri" w:hAnsi="Calibri"/>
          <w:color w:val="525866"/>
          <w:sz w:val="22"/>
        </w:rPr>
        <w:t xml:space="preserve"> Q1 2026 Earnings — strong beat, stock +mid-single digits on the day</w:t>
      </w:r>
    </w:p>
    <w:p>
      <w:pPr>
        <w:pStyle w:val="ListBullet"/>
        <w:ind w:left="360" w:hanging="360"/>
      </w:pPr>
      <w:r>
        <w:rPr>
          <w:rFonts w:ascii="Calibri" w:hAnsi="Calibri"/>
          <w:b/>
          <w:color w:val="525866"/>
          <w:sz w:val="22"/>
        </w:rPr>
        <w:t>May 5, 2026:</w:t>
      </w:r>
      <w:r>
        <w:rPr>
          <w:rFonts w:ascii="Calibri" w:hAnsi="Calibri"/>
          <w:color w:val="525866"/>
          <w:sz w:val="22"/>
        </w:rPr>
        <w:t xml:space="preserve"> Barclays Americas Select Conference — CPO Munari bullish on product innovation pipeline</w:t>
      </w:r>
    </w:p>
    <w:p>
      <w:pPr>
        <w:pStyle w:val="ListBullet"/>
        <w:ind w:left="360" w:hanging="360"/>
      </w:pPr>
      <w:r>
        <w:rPr>
          <w:rFonts w:ascii="Calibri" w:hAnsi="Calibri"/>
          <w:b/>
          <w:color w:val="525866"/>
          <w:sz w:val="22"/>
        </w:rPr>
        <w:t>May 28, 2026:</w:t>
      </w:r>
      <w:r>
        <w:rPr>
          <w:rFonts w:ascii="Calibri" w:hAnsi="Calibri"/>
          <w:color w:val="525866"/>
          <w:sz w:val="22"/>
        </w:rPr>
        <w:t xml:space="preserve"> Bernstein Strategic Decisions Conference — CFO Wiechmann: "no change to financial model," "very good momentum"</w:t>
      </w:r>
    </w:p>
    <w:p>
      <w:pPr>
        <w:pStyle w:val="ListBullet"/>
        <w:ind w:left="360" w:hanging="360"/>
      </w:pPr>
      <w:r>
        <w:rPr>
          <w:rFonts w:ascii="Calibri" w:hAnsi="Calibri"/>
          <w:b/>
          <w:color w:val="525866"/>
          <w:sz w:val="22"/>
        </w:rPr>
        <w:t>Jun 25, 2026:</w:t>
      </w:r>
      <w:r>
        <w:rPr>
          <w:rFonts w:ascii="Calibri" w:hAnsi="Calibri"/>
          <w:color w:val="525866"/>
          <w:sz w:val="22"/>
        </w:rPr>
        <w:t xml:space="preserve"> Private Assets Business Update Webinar — stock dropped ~$37 (-6.3%) on the day; sell-the-news reaction</w:t>
      </w:r>
    </w:p>
    <w:p>
      <w:pPr>
        <w:pStyle w:val="ListBullet"/>
        <w:ind w:left="360" w:hanging="360"/>
      </w:pPr>
      <w:r>
        <w:rPr>
          <w:rFonts w:ascii="Calibri" w:hAnsi="Calibri"/>
          <w:b/>
          <w:color w:val="525866"/>
          <w:sz w:val="22"/>
        </w:rPr>
        <w:t>Jul 8, 2026:</w:t>
      </w:r>
      <w:r>
        <w:rPr>
          <w:rFonts w:ascii="Calibri" w:hAnsi="Calibri"/>
          <w:color w:val="525866"/>
          <w:sz w:val="22"/>
        </w:rPr>
        <w:t xml:space="preserve"> MSCI announces Q2 2026 earnings call details (July 21)</w:t>
      </w:r>
    </w:p>
    <w:p>
      <w:pPr>
        <w:pStyle w:val="Heading3"/>
      </w:pPr>
      <w:r>
        <w:rPr>
          <w:rFonts w:ascii="Calibri" w:hAnsi="Calibri"/>
          <w:b/>
          <w:color w:val="3B4259"/>
          <w:sz w:val="24"/>
        </w:rPr>
        <w:t>Stock Performance Table — Indexed Returns Since Apr 21, 2026 (Selected Dates)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MSCI (Indexed)</w:t>
            </w:r>
          </w:p>
        </w:tc>
        <w:tc>
          <w:tcPr>
            <w:tcW w:type="dxa" w:w="1728"/>
            <w:shd w:val="clear" w:color="auto" w:fill="3B4259"/>
          </w:tcPr>
          <w:p>
            <w:r>
              <w:rPr>
                <w:rFonts w:ascii="Calibri" w:hAnsi="Calibri"/>
                <w:b/>
                <w:color w:val="FFFFFF"/>
                <w:sz w:val="22"/>
              </w:rPr>
              <w:t>KCE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Event</w:t>
            </w:r>
          </w:p>
        </w:tc>
      </w:tr>
      <w:tr>
        <w:tc>
          <w:tcPr>
            <w:tcW w:type="dxa" w:w="1728"/>
          </w:tcPr>
          <w:p>
            <w:r>
              <w:rPr>
                <w:rFonts w:ascii="Calibri" w:hAnsi="Calibri"/>
                <w:sz w:val="22"/>
              </w:rPr>
              <w:t>Apr 21,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Earnings (base)</w:t>
            </w:r>
          </w:p>
        </w:tc>
      </w:tr>
      <w:tr>
        <w:tc>
          <w:tcPr>
            <w:tcW w:type="dxa" w:w="1728"/>
          </w:tcPr>
          <w:p>
            <w:r>
              <w:rPr>
                <w:rFonts w:ascii="Calibri" w:hAnsi="Calibri"/>
                <w:sz w:val="22"/>
              </w:rPr>
              <w:t>May 5, 2026</w:t>
            </w:r>
          </w:p>
        </w:tc>
        <w:tc>
          <w:tcPr>
            <w:tcW w:type="dxa" w:w="1728"/>
          </w:tcPr>
          <w:p>
            <w:r>
              <w:rPr>
                <w:rFonts w:ascii="Calibri" w:hAnsi="Calibri"/>
                <w:sz w:val="22"/>
              </w:rPr>
              <w:t>97.2</w:t>
            </w:r>
          </w:p>
        </w:tc>
        <w:tc>
          <w:tcPr>
            <w:tcW w:type="dxa" w:w="1728"/>
          </w:tcPr>
          <w:p>
            <w:r>
              <w:rPr>
                <w:rFonts w:ascii="Calibri" w:hAnsi="Calibri"/>
                <w:sz w:val="22"/>
              </w:rPr>
              <w:t>99.5</w:t>
            </w:r>
          </w:p>
        </w:tc>
        <w:tc>
          <w:tcPr>
            <w:tcW w:type="dxa" w:w="1728"/>
          </w:tcPr>
          <w:p>
            <w:r>
              <w:rPr>
                <w:rFonts w:ascii="Calibri" w:hAnsi="Calibri"/>
                <w:sz w:val="22"/>
              </w:rPr>
              <w:t>102.8</w:t>
            </w:r>
          </w:p>
        </w:tc>
        <w:tc>
          <w:tcPr>
            <w:tcW w:type="dxa" w:w="1728"/>
          </w:tcPr>
          <w:p>
            <w:r>
              <w:rPr>
                <w:rFonts w:ascii="Calibri" w:hAnsi="Calibri"/>
                <w:sz w:val="22"/>
              </w:rPr>
              <w:t>Barclays Conference</w:t>
            </w:r>
          </w:p>
        </w:tc>
      </w:tr>
      <w:tr>
        <w:tc>
          <w:tcPr>
            <w:tcW w:type="dxa" w:w="1728"/>
          </w:tcPr>
          <w:p>
            <w:r>
              <w:rPr>
                <w:rFonts w:ascii="Calibri" w:hAnsi="Calibri"/>
                <w:sz w:val="22"/>
              </w:rPr>
              <w:t>May 28, 2026</w:t>
            </w:r>
          </w:p>
        </w:tc>
        <w:tc>
          <w:tcPr>
            <w:tcW w:type="dxa" w:w="1728"/>
          </w:tcPr>
          <w:p>
            <w:r>
              <w:rPr>
                <w:rFonts w:ascii="Calibri" w:hAnsi="Calibri"/>
                <w:sz w:val="22"/>
              </w:rPr>
              <w:t>104.9</w:t>
            </w:r>
          </w:p>
        </w:tc>
        <w:tc>
          <w:tcPr>
            <w:tcW w:type="dxa" w:w="1728"/>
          </w:tcPr>
          <w:p>
            <w:r>
              <w:rPr>
                <w:rFonts w:ascii="Calibri" w:hAnsi="Calibri"/>
                <w:sz w:val="22"/>
              </w:rPr>
              <w:t>99.0</w:t>
            </w:r>
          </w:p>
        </w:tc>
        <w:tc>
          <w:tcPr>
            <w:tcW w:type="dxa" w:w="1728"/>
          </w:tcPr>
          <w:p>
            <w:r>
              <w:rPr>
                <w:rFonts w:ascii="Calibri" w:hAnsi="Calibri"/>
                <w:sz w:val="22"/>
              </w:rPr>
              <w:t>107.2</w:t>
            </w:r>
          </w:p>
        </w:tc>
        <w:tc>
          <w:tcPr>
            <w:tcW w:type="dxa" w:w="1728"/>
          </w:tcPr>
          <w:p>
            <w:r>
              <w:rPr>
                <w:rFonts w:ascii="Calibri" w:hAnsi="Calibri"/>
                <w:sz w:val="22"/>
              </w:rPr>
              <w:t>Bernstein Conference</w:t>
            </w:r>
          </w:p>
        </w:tc>
      </w:tr>
      <w:tr>
        <w:tc>
          <w:tcPr>
            <w:tcW w:type="dxa" w:w="1728"/>
          </w:tcPr>
          <w:p>
            <w:r>
              <w:rPr>
                <w:rFonts w:ascii="Calibri" w:hAnsi="Calibri"/>
                <w:sz w:val="22"/>
              </w:rPr>
              <w:t>Jun 1, 2026</w:t>
            </w:r>
          </w:p>
        </w:tc>
        <w:tc>
          <w:tcPr>
            <w:tcW w:type="dxa" w:w="1728"/>
          </w:tcPr>
          <w:p>
            <w:r>
              <w:rPr>
                <w:rFonts w:ascii="Calibri" w:hAnsi="Calibri"/>
                <w:sz w:val="22"/>
              </w:rPr>
              <w:t>107.8</w:t>
            </w:r>
          </w:p>
        </w:tc>
        <w:tc>
          <w:tcPr>
            <w:tcW w:type="dxa" w:w="1728"/>
          </w:tcPr>
          <w:p>
            <w:r>
              <w:rPr>
                <w:rFonts w:ascii="Calibri" w:hAnsi="Calibri"/>
                <w:sz w:val="22"/>
              </w:rPr>
              <w:t>99.9</w:t>
            </w:r>
          </w:p>
        </w:tc>
        <w:tc>
          <w:tcPr>
            <w:tcW w:type="dxa" w:w="1728"/>
          </w:tcPr>
          <w:p>
            <w:r>
              <w:rPr>
                <w:rFonts w:ascii="Calibri" w:hAnsi="Calibri"/>
                <w:sz w:val="22"/>
              </w:rPr>
              <w:t>107.7</w:t>
            </w:r>
          </w:p>
        </w:tc>
        <w:tc>
          <w:tcPr>
            <w:tcW w:type="dxa" w:w="1728"/>
          </w:tcPr>
          <w:p>
            <w:r>
              <w:rPr>
                <w:rFonts w:ascii="Calibri" w:hAnsi="Calibri"/>
                <w:sz w:val="22"/>
              </w:rPr>
              <w:t>Post-Bernstein high</w:t>
            </w:r>
          </w:p>
        </w:tc>
      </w:tr>
      <w:tr>
        <w:tc>
          <w:tcPr>
            <w:tcW w:type="dxa" w:w="1728"/>
          </w:tcPr>
          <w:p>
            <w:r>
              <w:rPr>
                <w:rFonts w:ascii="Calibri" w:hAnsi="Calibri"/>
                <w:sz w:val="22"/>
              </w:rPr>
              <w:t>Jun 25, 2026</w:t>
            </w:r>
          </w:p>
        </w:tc>
        <w:tc>
          <w:tcPr>
            <w:tcW w:type="dxa" w:w="1728"/>
          </w:tcPr>
          <w:p>
            <w:r>
              <w:rPr>
                <w:rFonts w:ascii="Calibri" w:hAnsi="Calibri"/>
                <w:sz w:val="22"/>
              </w:rPr>
              <w:t>91.2</w:t>
            </w:r>
          </w:p>
        </w:tc>
        <w:tc>
          <w:tcPr>
            <w:tcW w:type="dxa" w:w="1728"/>
          </w:tcPr>
          <w:p>
            <w:r>
              <w:rPr>
                <w:rFonts w:ascii="Calibri" w:hAnsi="Calibri"/>
                <w:sz w:val="22"/>
              </w:rPr>
              <w:t>96.0</w:t>
            </w:r>
          </w:p>
        </w:tc>
        <w:tc>
          <w:tcPr>
            <w:tcW w:type="dxa" w:w="1728"/>
          </w:tcPr>
          <w:p>
            <w:r>
              <w:rPr>
                <w:rFonts w:ascii="Calibri" w:hAnsi="Calibri"/>
                <w:sz w:val="22"/>
              </w:rPr>
              <w:t>104.3</w:t>
            </w:r>
          </w:p>
        </w:tc>
        <w:tc>
          <w:tcPr>
            <w:tcW w:type="dxa" w:w="1728"/>
          </w:tcPr>
          <w:p>
            <w:r>
              <w:rPr>
                <w:rFonts w:ascii="Calibri" w:hAnsi="Calibri"/>
                <w:sz w:val="22"/>
              </w:rPr>
              <w:t>Private Assets Webinar (trough)</w:t>
            </w:r>
          </w:p>
        </w:tc>
      </w:tr>
      <w:tr>
        <w:tc>
          <w:tcPr>
            <w:tcW w:type="dxa" w:w="1728"/>
          </w:tcPr>
          <w:p>
            <w:r>
              <w:rPr>
                <w:rFonts w:ascii="Calibri" w:hAnsi="Calibri"/>
                <w:sz w:val="22"/>
              </w:rPr>
              <w:t>Jul 16, 2026</w:t>
            </w:r>
          </w:p>
        </w:tc>
        <w:tc>
          <w:tcPr>
            <w:tcW w:type="dxa" w:w="1728"/>
          </w:tcPr>
          <w:p>
            <w:r>
              <w:rPr>
                <w:rFonts w:ascii="Calibri" w:hAnsi="Calibri"/>
                <w:sz w:val="22"/>
              </w:rPr>
              <w:t>106.7</w:t>
            </w:r>
          </w:p>
        </w:tc>
        <w:tc>
          <w:tcPr>
            <w:tcW w:type="dxa" w:w="1728"/>
          </w:tcPr>
          <w:p>
            <w:r>
              <w:rPr>
                <w:rFonts w:ascii="Calibri" w:hAnsi="Calibri"/>
                <w:sz w:val="22"/>
              </w:rPr>
              <w:t>105.5</w:t>
            </w:r>
          </w:p>
        </w:tc>
        <w:tc>
          <w:tcPr>
            <w:tcW w:type="dxa" w:w="1728"/>
          </w:tcPr>
          <w:p>
            <w:r>
              <w:rPr>
                <w:rFonts w:ascii="Calibri" w:hAnsi="Calibri"/>
                <w:sz w:val="22"/>
              </w:rPr>
              <w:t>106.6</w:t>
            </w:r>
          </w:p>
        </w:tc>
        <w:tc>
          <w:tcPr>
            <w:tcW w:type="dxa" w:w="1728"/>
          </w:tcPr>
          <w:p>
            <w:r>
              <w:rPr>
                <w:rFonts w:ascii="Calibri" w:hAnsi="Calibri"/>
                <w:sz w:val="22"/>
              </w:rPr>
              <w:t>Pre-earnings high</w:t>
            </w:r>
          </w:p>
        </w:tc>
      </w:tr>
      <w:tr>
        <w:tc>
          <w:tcPr>
            <w:tcW w:type="dxa" w:w="1728"/>
          </w:tcPr>
          <w:p>
            <w:r>
              <w:rPr>
                <w:rFonts w:ascii="Calibri" w:hAnsi="Calibri"/>
                <w:sz w:val="22"/>
              </w:rPr>
              <w:t>Jul 21, 2026</w:t>
            </w:r>
          </w:p>
        </w:tc>
        <w:tc>
          <w:tcPr>
            <w:tcW w:type="dxa" w:w="1728"/>
          </w:tcPr>
          <w:p>
            <w:r>
              <w:rPr>
                <w:rFonts w:ascii="Calibri" w:hAnsi="Calibri"/>
                <w:sz w:val="22"/>
              </w:rPr>
              <w:t>104.6</w:t>
            </w:r>
          </w:p>
        </w:tc>
        <w:tc>
          <w:tcPr>
            <w:tcW w:type="dxa" w:w="1728"/>
          </w:tcPr>
          <w:p>
            <w:r>
              <w:rPr>
                <w:rFonts w:ascii="Calibri" w:hAnsi="Calibri"/>
                <w:sz w:val="22"/>
              </w:rPr>
              <w:t>102.9</w:t>
            </w:r>
          </w:p>
        </w:tc>
        <w:tc>
          <w:tcPr>
            <w:tcW w:type="dxa" w:w="1728"/>
          </w:tcPr>
          <w:p>
            <w:r>
              <w:rPr>
                <w:rFonts w:ascii="Calibri" w:hAnsi="Calibri"/>
                <w:sz w:val="22"/>
              </w:rPr>
              <w:t>105.4</w:t>
            </w:r>
          </w:p>
        </w:tc>
        <w:tc>
          <w:tcPr>
            <w:tcW w:type="dxa" w:w="1728"/>
          </w:tcPr>
          <w:p>
            <w:r>
              <w:rPr>
                <w:rFonts w:ascii="Calibri" w:hAnsi="Calibri"/>
                <w:sz w:val="22"/>
              </w:rPr>
              <w:t>Q2 Earnings Day</w:t>
            </w:r>
          </w:p>
        </w:tc>
      </w:tr>
    </w:tbl>
    <w:p>
      <w:r>
        <w:rPr>
          <w:rFonts w:ascii="Calibri" w:hAnsi="Calibri"/>
          <w:i/>
          <w:color w:val="525866"/>
          <w:sz w:val="22"/>
        </w:rPr>
        <w:t>Note: KCE (SPDR S&amp;P Capital Markets ETF) used as the sector benchmark — appropriate for MSCI's financial data/index sub-sector. Indexed to 100 at April 21, 2026 close. Source: Stock Price Data.</w:t>
      </w:r>
    </w:p>
    <w:p>
      <w:pPr>
        <w:pStyle w:val="Heading3"/>
      </w:pPr>
      <w:r>
        <w:rPr>
          <w:rFonts w:ascii="Calibri" w:hAnsi="Calibri"/>
          <w:b/>
          <w:color w:val="3B4259"/>
          <w:sz w:val="24"/>
        </w:rPr>
        <w:t>Valuation Decomposition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Change</w:t>
            </w:r>
          </w:p>
        </w:tc>
        <w:tc>
          <w:tcPr>
            <w:tcW w:type="dxa" w:w="1440"/>
            <w:shd w:val="clear" w:color="auto" w:fill="3B4259"/>
          </w:tcPr>
          <w:p>
            <w:r>
              <w:rPr>
                <w:rFonts w:ascii="Calibri" w:hAnsi="Calibri"/>
                <w:b/>
                <w:color w:val="FFFFFF"/>
                <w:sz w:val="22"/>
              </w:rPr>
              <w:t>NTM P/E at Start</w:t>
            </w:r>
          </w:p>
        </w:tc>
        <w:tc>
          <w:tcPr>
            <w:tcW w:type="dxa" w:w="1440"/>
            <w:shd w:val="clear" w:color="auto" w:fill="3B4259"/>
          </w:tcPr>
          <w:p>
            <w:r>
              <w:rPr>
                <w:rFonts w:ascii="Calibri" w:hAnsi="Calibri"/>
                <w:b/>
                <w:color w:val="FFFFFF"/>
                <w:sz w:val="22"/>
              </w:rPr>
              <w:t>NTM P/E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Interpretation</w:t>
            </w:r>
          </w:p>
        </w:tc>
      </w:tr>
      <w:tr>
        <w:tc>
          <w:tcPr>
            <w:tcW w:type="dxa" w:w="1440"/>
          </w:tcPr>
          <w:p>
            <w:r>
              <w:rPr>
                <w:rFonts w:ascii="Calibri" w:hAnsi="Calibri"/>
                <w:sz w:val="22"/>
              </w:rPr>
              <w:t>1 Month</w:t>
            </w:r>
          </w:p>
        </w:tc>
        <w:tc>
          <w:tcPr>
            <w:tcW w:type="dxa" w:w="1440"/>
          </w:tcPr>
          <w:p>
            <w:r>
              <w:rPr>
                <w:rFonts w:ascii="Calibri" w:hAnsi="Calibri"/>
                <w:sz w:val="22"/>
              </w:rPr>
              <w:t>+4.7%</w:t>
            </w:r>
          </w:p>
        </w:tc>
        <w:tc>
          <w:tcPr>
            <w:tcW w:type="dxa" w:w="1440"/>
          </w:tcPr>
          <w:p>
            <w:r>
              <w:rPr>
                <w:rFonts w:ascii="Calibri" w:hAnsi="Calibri"/>
                <w:sz w:val="22"/>
              </w:rPr>
              <w:t>28.95x</w:t>
            </w:r>
          </w:p>
        </w:tc>
        <w:tc>
          <w:tcPr>
            <w:tcW w:type="dxa" w:w="1440"/>
          </w:tcPr>
          <w:p>
            <w:r>
              <w:rPr>
                <w:rFonts w:ascii="Calibri" w:hAnsi="Calibri"/>
                <w:sz w:val="22"/>
              </w:rPr>
              <w:t>29.03x</w:t>
            </w:r>
          </w:p>
        </w:tc>
        <w:tc>
          <w:tcPr>
            <w:tcW w:type="dxa" w:w="1440"/>
          </w:tcPr>
          <w:p>
            <w:r>
              <w:rPr>
                <w:rFonts w:ascii="Calibri" w:hAnsi="Calibri"/>
                <w:sz w:val="22"/>
              </w:rPr>
              <w:t>+0.3%</w:t>
            </w:r>
          </w:p>
        </w:tc>
        <w:tc>
          <w:tcPr>
            <w:tcW w:type="dxa" w:w="1440"/>
          </w:tcPr>
          <w:p>
            <w:r>
              <w:rPr>
                <w:rFonts w:ascii="Calibri" w:hAnsi="Calibri"/>
                <w:sz w:val="22"/>
              </w:rPr>
              <w:t>Earnings-driven; multiple flat</w:t>
            </w:r>
          </w:p>
        </w:tc>
      </w:tr>
      <w:tr>
        <w:tc>
          <w:tcPr>
            <w:tcW w:type="dxa" w:w="1440"/>
          </w:tcPr>
          <w:p>
            <w:r>
              <w:rPr>
                <w:rFonts w:ascii="Calibri" w:hAnsi="Calibri"/>
                <w:sz w:val="22"/>
              </w:rPr>
              <w:t>3 Months</w:t>
            </w:r>
          </w:p>
        </w:tc>
        <w:tc>
          <w:tcPr>
            <w:tcW w:type="dxa" w:w="1440"/>
          </w:tcPr>
          <w:p>
            <w:r>
              <w:rPr>
                <w:rFonts w:ascii="Calibri" w:hAnsi="Calibri"/>
                <w:sz w:val="22"/>
              </w:rPr>
              <w:t>+10.0%</w:t>
            </w:r>
          </w:p>
        </w:tc>
        <w:tc>
          <w:tcPr>
            <w:tcW w:type="dxa" w:w="1440"/>
          </w:tcPr>
          <w:p>
            <w:r>
              <w:rPr>
                <w:rFonts w:ascii="Calibri" w:hAnsi="Calibri"/>
                <w:sz w:val="22"/>
              </w:rPr>
              <w:t>27.95x</w:t>
            </w:r>
          </w:p>
        </w:tc>
        <w:tc>
          <w:tcPr>
            <w:tcW w:type="dxa" w:w="1440"/>
          </w:tcPr>
          <w:p>
            <w:r>
              <w:rPr>
                <w:rFonts w:ascii="Calibri" w:hAnsi="Calibri"/>
                <w:sz w:val="22"/>
              </w:rPr>
              <w:t>29.03x</w:t>
            </w:r>
          </w:p>
        </w:tc>
        <w:tc>
          <w:tcPr>
            <w:tcW w:type="dxa" w:w="1440"/>
          </w:tcPr>
          <w:p>
            <w:r>
              <w:rPr>
                <w:rFonts w:ascii="Calibri" w:hAnsi="Calibri"/>
                <w:sz w:val="22"/>
              </w:rPr>
              <w:t>+3.8%</w:t>
            </w:r>
          </w:p>
        </w:tc>
        <w:tc>
          <w:tcPr>
            <w:tcW w:type="dxa" w:w="1440"/>
          </w:tcPr>
          <w:p>
            <w:r>
              <w:rPr>
                <w:rFonts w:ascii="Calibri" w:hAnsi="Calibri"/>
                <w:sz w:val="22"/>
              </w:rPr>
              <w:t>Mix of earnings growth and modest re-rating</w:t>
            </w:r>
          </w:p>
        </w:tc>
      </w:tr>
      <w:tr>
        <w:tc>
          <w:tcPr>
            <w:tcW w:type="dxa" w:w="1440"/>
          </w:tcPr>
          <w:p>
            <w:r>
              <w:rPr>
                <w:rFonts w:ascii="Calibri" w:hAnsi="Calibri"/>
                <w:sz w:val="22"/>
              </w:rPr>
              <w:t>6 Months</w:t>
            </w:r>
          </w:p>
        </w:tc>
        <w:tc>
          <w:tcPr>
            <w:tcW w:type="dxa" w:w="1440"/>
          </w:tcPr>
          <w:p>
            <w:r>
              <w:rPr>
                <w:rFonts w:ascii="Calibri" w:hAnsi="Calibri"/>
                <w:sz w:val="22"/>
              </w:rPr>
              <w:t>+4.7%</w:t>
            </w:r>
          </w:p>
        </w:tc>
        <w:tc>
          <w:tcPr>
            <w:tcW w:type="dxa" w:w="1440"/>
          </w:tcPr>
          <w:p>
            <w:r>
              <w:rPr>
                <w:rFonts w:ascii="Calibri" w:hAnsi="Calibri"/>
                <w:sz w:val="22"/>
              </w:rPr>
              <w:t>30.41x</w:t>
            </w:r>
          </w:p>
        </w:tc>
        <w:tc>
          <w:tcPr>
            <w:tcW w:type="dxa" w:w="1440"/>
          </w:tcPr>
          <w:p>
            <w:r>
              <w:rPr>
                <w:rFonts w:ascii="Calibri" w:hAnsi="Calibri"/>
                <w:sz w:val="22"/>
              </w:rPr>
              <w:t>29.03x</w:t>
            </w:r>
          </w:p>
        </w:tc>
        <w:tc>
          <w:tcPr>
            <w:tcW w:type="dxa" w:w="1440"/>
          </w:tcPr>
          <w:p>
            <w:r>
              <w:rPr>
                <w:rFonts w:ascii="Calibri" w:hAnsi="Calibri"/>
                <w:sz w:val="22"/>
              </w:rPr>
              <w:t>-4.6%</w:t>
            </w:r>
          </w:p>
        </w:tc>
        <w:tc>
          <w:tcPr>
            <w:tcW w:type="dxa" w:w="1440"/>
          </w:tcPr>
          <w:p>
            <w:r>
              <w:rPr>
                <w:rFonts w:ascii="Calibri" w:hAnsi="Calibri"/>
                <w:sz w:val="22"/>
              </w:rPr>
              <w:t>Multiple compression offset by earnings growth</w:t>
            </w:r>
          </w:p>
        </w:tc>
      </w:tr>
      <w:tr>
        <w:tc>
          <w:tcPr>
            <w:tcW w:type="dxa" w:w="1440"/>
          </w:tcPr>
          <w:p>
            <w:r>
              <w:rPr>
                <w:rFonts w:ascii="Calibri" w:hAnsi="Calibri"/>
                <w:sz w:val="22"/>
              </w:rPr>
              <w:t>12 Months</w:t>
            </w:r>
          </w:p>
        </w:tc>
        <w:tc>
          <w:tcPr>
            <w:tcW w:type="dxa" w:w="1440"/>
          </w:tcPr>
          <w:p>
            <w:r>
              <w:rPr>
                <w:rFonts w:ascii="Calibri" w:hAnsi="Calibri"/>
                <w:sz w:val="22"/>
              </w:rPr>
              <w:t>+7.8%</w:t>
            </w:r>
          </w:p>
        </w:tc>
        <w:tc>
          <w:tcPr>
            <w:tcW w:type="dxa" w:w="1440"/>
          </w:tcPr>
          <w:p>
            <w:r>
              <w:rPr>
                <w:rFonts w:ascii="Calibri" w:hAnsi="Calibri"/>
                <w:sz w:val="22"/>
              </w:rPr>
              <w:t>31.66x</w:t>
            </w:r>
          </w:p>
        </w:tc>
        <w:tc>
          <w:tcPr>
            <w:tcW w:type="dxa" w:w="1440"/>
          </w:tcPr>
          <w:p>
            <w:r>
              <w:rPr>
                <w:rFonts w:ascii="Calibri" w:hAnsi="Calibri"/>
                <w:sz w:val="22"/>
              </w:rPr>
              <w:t>29.03x</w:t>
            </w:r>
          </w:p>
        </w:tc>
        <w:tc>
          <w:tcPr>
            <w:tcW w:type="dxa" w:w="1440"/>
          </w:tcPr>
          <w:p>
            <w:r>
              <w:rPr>
                <w:rFonts w:ascii="Calibri" w:hAnsi="Calibri"/>
                <w:sz w:val="22"/>
              </w:rPr>
              <w:t>-8.3%</w:t>
            </w:r>
          </w:p>
        </w:tc>
        <w:tc>
          <w:tcPr>
            <w:tcW w:type="dxa" w:w="1440"/>
          </w:tcPr>
          <w:p>
            <w:r>
              <w:rPr>
                <w:rFonts w:ascii="Calibri" w:hAnsi="Calibri"/>
                <w:sz w:val="22"/>
              </w:rPr>
              <w:t>Significant de-rating; earnings growth doing the heavy lifting</w:t>
            </w:r>
          </w:p>
        </w:tc>
      </w:tr>
    </w:tbl>
    <w:p>
      <w:r>
        <w:rPr>
          <w:rFonts w:ascii="Calibri" w:hAnsi="Calibri"/>
          <w:i/>
          <w:color w:val="525866"/>
          <w:sz w:val="22"/>
        </w:rPr>
        <w:t>Source: Visible Alpha Consensus and Actuals Data (NTM P/E multiples).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June 25 Private Assets Business Update Webinar is the most significant post-Q1 development — it provided the first detailed public update on the Burgiss/PCS acceleration (16% run rate growth) and new product pipeline, but the stock's sharp -6.3% reaction on the day suggests the market found the update incrementally disappointing relative to elevated expectations. The Q2 print will be the first opportunity to validate or refute that read.</w:t>
      </w:r>
    </w:p>
    <w:p>
      <w:pPr>
        <w:pStyle w:val="ListBullet"/>
        <w:ind w:left="360" w:hanging="360"/>
      </w:pPr>
      <w:r>
        <w:rPr>
          <w:rFonts w:ascii="Calibri" w:hAnsi="Calibri"/>
          <w:b/>
          <w:color w:val="525866"/>
          <w:sz w:val="22"/>
        </w:rPr>
        <w:t>June 25, 2026 — Private Assets Business Update Webinar:</w:t>
      </w:r>
      <w:r>
        <w:rPr>
          <w:rFonts w:ascii="Calibri" w:hAnsi="Calibri"/>
          <w:color w:val="525866"/>
          <w:sz w:val="22"/>
        </w:rPr>
        <w:t xml:space="preserve"> MSCI hosted a dedicated Q&amp;A session on private assets and AI-enabled innovation. Head of Private Assets Luke Flemmer confirmed PCS run rate growth of ~16% in Q1, described the segment as ~$300M in run rate, and outlined new product launches including daily private valuation indices, a liquidity stress test model, and PM Insights integration. Stock fell ~6.3% on the day — likely a sell-the-news reaction after the stock had rallied ~8% in the prior two weeks. </w:t>
      </w:r>
      <w:r>
        <w:rPr>
          <w:rFonts w:ascii="Calibri" w:hAnsi="Calibri"/>
          <w:b/>
          <w:color w:val="525866"/>
          <w:sz w:val="22"/>
        </w:rPr>
        <w:t>Implication: Watch for any acceleration in PCS growth beyond 16% in Q2 as the key upside catalyst.</w:t>
      </w:r>
    </w:p>
    <w:p>
      <w:pPr>
        <w:pStyle w:val="ListBullet"/>
        <w:ind w:left="360" w:hanging="360"/>
      </w:pPr>
      <w:r>
        <w:rPr>
          <w:rFonts w:ascii="Calibri" w:hAnsi="Calibri"/>
          <w:b/>
          <w:color w:val="525866"/>
          <w:sz w:val="22"/>
        </w:rPr>
        <w:t>May 28, 2026 — Bernstein Strategic Decisions Conference:</w:t>
      </w:r>
      <w:r>
        <w:rPr>
          <w:rFonts w:ascii="Calibri" w:hAnsi="Calibri"/>
          <w:color w:val="525866"/>
          <w:sz w:val="22"/>
        </w:rPr>
        <w:t xml:space="preserve"> CFO Andrew Wiechmann stated "no change to our financial model" and described "very good momentum across the business," with Index organic subscription run rate growth at 10.4% and custom index subscription run rate growth at 24%. Explicitly bullish on private assets and custom index outlook. </w:t>
      </w:r>
      <w:r>
        <w:rPr>
          <w:rFonts w:ascii="Calibri" w:hAnsi="Calibri"/>
          <w:b/>
          <w:color w:val="525866"/>
          <w:sz w:val="22"/>
        </w:rPr>
        <w:t>Implication: Confirms no guidance revision risk; sets a high bar for subscription momentum.</w:t>
      </w:r>
    </w:p>
    <w:p>
      <w:pPr>
        <w:pStyle w:val="ListBullet"/>
        <w:ind w:left="360" w:hanging="360"/>
      </w:pPr>
      <w:r>
        <w:rPr>
          <w:rFonts w:ascii="Calibri" w:hAnsi="Calibri"/>
          <w:b/>
          <w:color w:val="525866"/>
          <w:sz w:val="22"/>
        </w:rPr>
        <w:t>May 5, 2026 — Barclays Americas Select Conference:</w:t>
      </w:r>
      <w:r>
        <w:rPr>
          <w:rFonts w:ascii="Calibri" w:hAnsi="Calibri"/>
          <w:color w:val="525866"/>
          <w:sz w:val="22"/>
        </w:rPr>
        <w:t xml:space="preserve"> CPO Alvise Munari clarified that MSCI launched "roughly as many new products in Q1 2026 as in all of 2024" and aspires to exit 2026 at ~5x the 2024 annual product launch run rate. Described AI as "revolutionary" and a "godsend" for a knowledge company. </w:t>
      </w:r>
      <w:r>
        <w:rPr>
          <w:rFonts w:ascii="Calibri" w:hAnsi="Calibri"/>
          <w:b/>
          <w:color w:val="525866"/>
          <w:sz w:val="22"/>
        </w:rPr>
        <w:t>Implication: Product velocity is a key driver of subscription run rate acceleration; watch for new product contribution commentary in Q2.</w:t>
      </w:r>
    </w:p>
    <w:p>
      <w:pPr>
        <w:pStyle w:val="ListBullet"/>
        <w:ind w:left="360" w:hanging="360"/>
      </w:pPr>
      <w:r>
        <w:rPr>
          <w:rFonts w:ascii="Calibri" w:hAnsi="Calibri"/>
          <w:b/>
          <w:color w:val="525866"/>
          <w:sz w:val="22"/>
        </w:rPr>
        <w:t>April 21, 2026 — Q1 2026 Earnings Beat:</w:t>
      </w:r>
      <w:r>
        <w:rPr>
          <w:rFonts w:ascii="Calibri" w:hAnsi="Calibri"/>
          <w:color w:val="525866"/>
          <w:sz w:val="22"/>
        </w:rPr>
        <w:t xml:space="preserve"> Record ABF run rate of $872M (+25% YoY), record $103B ETF inflows (35% of all equity index ETF flows globally), best Q1 net new recurring subscription sales since 2022 ($39.6M, +52% YoY). Stock rose mid-to-high single digits on the day. </w:t>
      </w:r>
      <w:r>
        <w:rPr>
          <w:rFonts w:ascii="Calibri" w:hAnsi="Calibri"/>
          <w:b/>
          <w:color w:val="525866"/>
          <w:sz w:val="22"/>
        </w:rPr>
        <w:t>Implication: Sets a high base for Q2 comparisons, particularly on ABF and subscription sales.</w:t>
      </w:r>
    </w:p>
    <w:p>
      <w:pPr>
        <w:pStyle w:val="ListBullet"/>
        <w:ind w:left="360" w:hanging="360"/>
      </w:pPr>
      <w:r>
        <w:rPr>
          <w:rFonts w:ascii="Calibri" w:hAnsi="Calibri"/>
          <w:b/>
          <w:color w:val="525866"/>
          <w:sz w:val="22"/>
        </w:rPr>
        <w:t>April 2026 — Three Bolt-On Acquisitions Completed:</w:t>
      </w:r>
      <w:r>
        <w:rPr>
          <w:rFonts w:ascii="Calibri" w:hAnsi="Calibri"/>
          <w:color w:val="525866"/>
          <w:sz w:val="22"/>
        </w:rPr>
        <w:t xml:space="preserve"> Compass Financial Technologies (Swiss index calculation, commodities/digital assets), Vantage (AI-native private market due diligence), and PM Insights (secondary market pricing/reference data) were all integrated in early 2026. D&amp;A guidance raised $5M to reflect acquisition intangibles. </w:t>
      </w:r>
      <w:r>
        <w:rPr>
          <w:rFonts w:ascii="Calibri" w:hAnsi="Calibri"/>
          <w:b/>
          <w:color w:val="525866"/>
          <w:sz w:val="22"/>
        </w:rPr>
        <w:t>Implication: Acquisition integration costs and revenue contribution will be a focus on the Q2 call.</w:t>
      </w:r>
    </w:p>
    <w:p>
      <w:pPr>
        <w:pStyle w:val="ListBullet"/>
        <w:ind w:left="360" w:hanging="360"/>
      </w:pPr>
      <w:r>
        <w:rPr>
          <w:rFonts w:ascii="Calibri" w:hAnsi="Calibri"/>
          <w:b/>
          <w:color w:val="525866"/>
          <w:sz w:val="22"/>
        </w:rPr>
        <w:t>Ongoing — CTO Search:</w:t>
      </w:r>
      <w:r>
        <w:rPr>
          <w:rFonts w:ascii="Calibri" w:hAnsi="Calibri"/>
          <w:color w:val="525866"/>
          <w:sz w:val="22"/>
        </w:rPr>
        <w:t xml:space="preserve"> MSCI is actively searching for a Chief Technology Officer — a newly created executive role. CPO Munari noted that data and technology had historically not received the same strategic focus as research and models. </w:t>
      </w:r>
      <w:r>
        <w:rPr>
          <w:rFonts w:ascii="Calibri" w:hAnsi="Calibri"/>
          <w:b/>
          <w:color w:val="525866"/>
          <w:sz w:val="22"/>
        </w:rPr>
        <w:t>Implication: Any CTO announcement on the Q2 call would be a positive signal for the technology transformation narrative.</w:t>
      </w:r>
    </w:p>
    <w:p>
      <w:pPr>
        <w:pStyle w:val="ListBullet"/>
        <w:ind w:left="360" w:hanging="360"/>
      </w:pPr>
      <w:r>
        <w:rPr>
          <w:rFonts w:ascii="Calibri" w:hAnsi="Calibri"/>
          <w:b/>
          <w:color w:val="525866"/>
          <w:sz w:val="22"/>
        </w:rPr>
        <w:t>Ongoing — ESMA ESG Ratings Regulation (H2 2026):</w:t>
      </w:r>
      <w:r>
        <w:rPr>
          <w:rFonts w:ascii="Calibri" w:hAnsi="Calibri"/>
          <w:color w:val="525866"/>
          <w:sz w:val="22"/>
        </w:rPr>
        <w:t xml:space="preserve"> ESMA's formal regulation of ESG ratings providers takes effect in H2 2026. Management has explicitly framed this as a competitive tailwind, expecting client consolidation toward MSCI as the standard provider. </w:t>
      </w:r>
      <w:r>
        <w:rPr>
          <w:rFonts w:ascii="Calibri" w:hAnsi="Calibri"/>
          <w:b/>
          <w:color w:val="525866"/>
          <w:sz w:val="22"/>
        </w:rPr>
        <w:t>Implication: Watch for any early evidence of competitive wins or client consolidation in the Sustainability &amp; Climate segment.</w:t>
      </w:r>
    </w:p>
    <w:p>
      <w:pPr>
        <w:pStyle w:val="ListBullet"/>
        <w:ind w:left="360" w:hanging="360"/>
      </w:pPr>
      <w:r>
        <w:rPr>
          <w:rFonts w:ascii="Calibri" w:hAnsi="Calibri"/>
          <w:b/>
          <w:color w:val="525866"/>
          <w:sz w:val="22"/>
        </w:rPr>
        <w:t>Ongoing — Iran War / Gulf Region Slowdown:</w:t>
      </w:r>
      <w:r>
        <w:rPr>
          <w:rFonts w:ascii="Calibri" w:hAnsi="Calibri"/>
          <w:color w:val="525866"/>
          <w:sz w:val="22"/>
        </w:rPr>
        <w:t xml:space="preserve"> CEO Fernandez noted on the Q1 call that the Iran war caused a "slowdown in dialogue and presentations" in the Gulf region but had no broader impact. </w:t>
      </w:r>
      <w:r>
        <w:rPr>
          <w:rFonts w:ascii="Calibri" w:hAnsi="Calibri"/>
          <w:b/>
          <w:color w:val="525866"/>
          <w:sz w:val="22"/>
        </w:rPr>
        <w:t>Implication: Any escalation or resolution could affect MSCI's APAC/EMEA sales pipeline.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most notable signal is CEO Henry Fernandez's open-market purchase of 4,000 shares at ~$561 on May 15 — a discretionary buy at a price well below current levels, signaling strong personal conviction in the stock's value at that level. The two sales (CFO Wiechmann and CPO Munari) are both plan-driven or routine in nature and carry no negative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Henry A. Fernandez</w:t>
            </w:r>
          </w:p>
        </w:tc>
        <w:tc>
          <w:tcPr>
            <w:tcW w:type="dxa" w:w="1234"/>
          </w:tcPr>
          <w:p>
            <w:r>
              <w:rPr>
                <w:rFonts w:ascii="Calibri" w:hAnsi="Calibri"/>
                <w:sz w:val="22"/>
              </w:rPr>
              <w:t>Chairman &amp; CEO</w:t>
            </w:r>
          </w:p>
        </w:tc>
        <w:tc>
          <w:tcPr>
            <w:tcW w:type="dxa" w:w="1234"/>
          </w:tcPr>
          <w:p>
            <w:r>
              <w:rPr>
                <w:rFonts w:ascii="Calibri" w:hAnsi="Calibri"/>
                <w:b/>
                <w:color w:val="30A46C"/>
                <w:sz w:val="22"/>
              </w:rPr>
              <w:t>Open Market Buy</w:t>
            </w:r>
          </w:p>
        </w:tc>
        <w:tc>
          <w:tcPr>
            <w:tcW w:type="dxa" w:w="1234"/>
          </w:tcPr>
          <w:p>
            <w:r>
              <w:rPr>
                <w:rFonts w:ascii="Calibri" w:hAnsi="Calibri"/>
                <w:sz w:val="22"/>
              </w:rPr>
              <w:t>4,000</w:t>
            </w:r>
          </w:p>
        </w:tc>
        <w:tc>
          <w:tcPr>
            <w:tcW w:type="dxa" w:w="1234"/>
          </w:tcPr>
          <w:p>
            <w:r>
              <w:rPr>
                <w:rFonts w:ascii="Calibri" w:hAnsi="Calibri"/>
                <w:sz w:val="22"/>
              </w:rPr>
              <w:t>~$2.25M</w:t>
            </w:r>
          </w:p>
        </w:tc>
        <w:tc>
          <w:tcPr>
            <w:tcW w:type="dxa" w:w="1234"/>
          </w:tcPr>
          <w:p>
            <w:r>
              <w:rPr>
                <w:rFonts w:ascii="Calibri" w:hAnsi="Calibri"/>
                <w:sz w:val="22"/>
              </w:rPr>
              <w:t>May 15, 2026</w:t>
            </w:r>
          </w:p>
        </w:tc>
        <w:tc>
          <w:tcPr>
            <w:tcW w:type="dxa" w:w="1234"/>
          </w:tcPr>
          <w:p>
            <w:r>
              <w:rPr>
                <w:rFonts w:ascii="Calibri" w:hAnsi="Calibri"/>
                <w:sz w:val="22"/>
              </w:rPr>
              <w:t>Discretionary purchase (no 10b5-1 plan); bought near 52-week low at ~$561/share; strong conviction signal</w:t>
            </w:r>
          </w:p>
        </w:tc>
      </w:tr>
      <w:tr>
        <w:tc>
          <w:tcPr>
            <w:tcW w:type="dxa" w:w="1234"/>
          </w:tcPr>
          <w:p>
            <w:r>
              <w:rPr>
                <w:rFonts w:ascii="Calibri" w:hAnsi="Calibri"/>
                <w:sz w:val="22"/>
              </w:rPr>
              <w:t>Andrew C. Wiechmann</w:t>
            </w:r>
          </w:p>
        </w:tc>
        <w:tc>
          <w:tcPr>
            <w:tcW w:type="dxa" w:w="1234"/>
          </w:tcPr>
          <w:p>
            <w:r>
              <w:rPr>
                <w:rFonts w:ascii="Calibri" w:hAnsi="Calibri"/>
                <w:sz w:val="22"/>
              </w:rPr>
              <w:t>Chief Financial Officer</w:t>
            </w:r>
          </w:p>
        </w:tc>
        <w:tc>
          <w:tcPr>
            <w:tcW w:type="dxa" w:w="1234"/>
          </w:tcPr>
          <w:p>
            <w:r>
              <w:rPr>
                <w:rFonts w:ascii="Calibri" w:hAnsi="Calibri"/>
                <w:b/>
                <w:color w:val="002FA7"/>
                <w:sz w:val="22"/>
              </w:rPr>
              <w:t>10b5-1 Planned Sale</w:t>
            </w:r>
          </w:p>
        </w:tc>
        <w:tc>
          <w:tcPr>
            <w:tcW w:type="dxa" w:w="1234"/>
          </w:tcPr>
          <w:p>
            <w:r>
              <w:rPr>
                <w:rFonts w:ascii="Calibri" w:hAnsi="Calibri"/>
                <w:sz w:val="22"/>
              </w:rPr>
              <w:t>450</w:t>
            </w:r>
          </w:p>
        </w:tc>
        <w:tc>
          <w:tcPr>
            <w:tcW w:type="dxa" w:w="1234"/>
          </w:tcPr>
          <w:p>
            <w:r>
              <w:rPr>
                <w:rFonts w:ascii="Calibri" w:hAnsi="Calibri"/>
                <w:sz w:val="22"/>
              </w:rPr>
              <w:t>~$274K</w:t>
            </w:r>
          </w:p>
        </w:tc>
        <w:tc>
          <w:tcPr>
            <w:tcW w:type="dxa" w:w="1234"/>
          </w:tcPr>
          <w:p>
            <w:r>
              <w:rPr>
                <w:rFonts w:ascii="Calibri" w:hAnsi="Calibri"/>
                <w:sz w:val="22"/>
              </w:rPr>
              <w:t>Jun 10, 2026</w:t>
            </w:r>
          </w:p>
        </w:tc>
        <w:tc>
          <w:tcPr>
            <w:tcW w:type="dxa" w:w="1234"/>
          </w:tcPr>
          <w:p>
            <w:r>
              <w:rPr>
                <w:rFonts w:ascii="Calibri" w:hAnsi="Calibri"/>
                <w:sz w:val="22"/>
              </w:rPr>
              <w:t>Pre-planned 10b5-1 sale; routine in nature; no negative signal</w:t>
            </w:r>
          </w:p>
        </w:tc>
      </w:tr>
      <w:tr>
        <w:tc>
          <w:tcPr>
            <w:tcW w:type="dxa" w:w="1234"/>
          </w:tcPr>
          <w:p>
            <w:r>
              <w:rPr>
                <w:rFonts w:ascii="Calibri" w:hAnsi="Calibri"/>
                <w:sz w:val="22"/>
              </w:rPr>
              <w:t>Alvise J. Munari</w:t>
            </w:r>
          </w:p>
        </w:tc>
        <w:tc>
          <w:tcPr>
            <w:tcW w:type="dxa" w:w="1234"/>
          </w:tcPr>
          <w:p>
            <w:r>
              <w:rPr>
                <w:rFonts w:ascii="Calibri" w:hAnsi="Calibri"/>
                <w:sz w:val="22"/>
              </w:rPr>
              <w:t>Chief Product Officer</w:t>
            </w:r>
          </w:p>
        </w:tc>
        <w:tc>
          <w:tcPr>
            <w:tcW w:type="dxa" w:w="1234"/>
          </w:tcPr>
          <w:p>
            <w:r>
              <w:rPr>
                <w:rFonts w:ascii="Calibri" w:hAnsi="Calibri"/>
                <w:b/>
                <w:color w:val="E5484D"/>
                <w:sz w:val="22"/>
              </w:rPr>
              <w:t>Open Market Sale</w:t>
            </w:r>
          </w:p>
        </w:tc>
        <w:tc>
          <w:tcPr>
            <w:tcW w:type="dxa" w:w="1234"/>
          </w:tcPr>
          <w:p>
            <w:r>
              <w:rPr>
                <w:rFonts w:ascii="Calibri" w:hAnsi="Calibri"/>
                <w:sz w:val="22"/>
              </w:rPr>
              <w:t>10,000</w:t>
            </w:r>
          </w:p>
        </w:tc>
        <w:tc>
          <w:tcPr>
            <w:tcW w:type="dxa" w:w="1234"/>
          </w:tcPr>
          <w:p>
            <w:r>
              <w:rPr>
                <w:rFonts w:ascii="Calibri" w:hAnsi="Calibri"/>
                <w:sz w:val="22"/>
              </w:rPr>
              <w:t>~$5.9M</w:t>
            </w:r>
          </w:p>
        </w:tc>
        <w:tc>
          <w:tcPr>
            <w:tcW w:type="dxa" w:w="1234"/>
          </w:tcPr>
          <w:p>
            <w:r>
              <w:rPr>
                <w:rFonts w:ascii="Calibri" w:hAnsi="Calibri"/>
                <w:sz w:val="22"/>
              </w:rPr>
              <w:t>Apr 24, 2026</w:t>
            </w:r>
          </w:p>
        </w:tc>
        <w:tc>
          <w:tcPr>
            <w:tcW w:type="dxa" w:w="1234"/>
          </w:tcPr>
          <w:p>
            <w:r>
              <w:rPr>
                <w:rFonts w:ascii="Calibri" w:hAnsi="Calibri"/>
                <w:sz w:val="22"/>
              </w:rPr>
              <w:t>Discretionary sale 3 days post-Q1 earnings; large in dollar terms but CPO retains 23,548 shares; likely profit-taking after stock's post-earnings pop</w:t>
            </w:r>
          </w:p>
        </w:tc>
      </w:tr>
    </w:tbl>
    <w:p>
      <w:r>
        <w:rPr>
          <w:rFonts w:ascii="Calibri" w:hAnsi="Calibri"/>
          <w:i/>
          <w:color w:val="525866"/>
          <w:sz w:val="22"/>
        </w:rPr>
        <w:t xml:space="preserve">Source: SEC Form 4 Filings. Fernandez: </w:t>
      </w:r>
      <w:r>
        <w:rPr>
          <w:rFonts w:ascii="Calibri" w:hAnsi="Calibri"/>
          <w:i/>
          <w:color w:val="525866"/>
          <w:sz w:val="22"/>
        </w:rPr>
        <w:t>Form 4 Filing — Henry A. Fernandez (MSCI), May 15, 2026</w:t>
      </w:r>
      <w:r>
        <w:rPr>
          <w:rFonts w:ascii="Calibri" w:hAnsi="Calibri"/>
          <w:i/>
          <w:color w:val="525866"/>
          <w:sz w:val="22"/>
        </w:rPr>
        <w:t xml:space="preserve">. Wiechmann: </w:t>
      </w:r>
      <w:r>
        <w:rPr>
          <w:rFonts w:ascii="Calibri" w:hAnsi="Calibri"/>
          <w:i/>
          <w:color w:val="525866"/>
          <w:sz w:val="22"/>
        </w:rPr>
        <w:t>Form 4 Filing — Andrew C. Wiechmann (MSCI), Jun 10, 2026</w:t>
      </w:r>
      <w:r>
        <w:rPr>
          <w:rFonts w:ascii="Calibri" w:hAnsi="Calibri"/>
          <w:i/>
          <w:color w:val="525866"/>
          <w:sz w:val="22"/>
        </w:rPr>
        <w:t xml:space="preserve">. Munari: </w:t>
      </w:r>
      <w:r>
        <w:rPr>
          <w:rFonts w:ascii="Calibri" w:hAnsi="Calibri"/>
          <w:i/>
          <w:color w:val="525866"/>
          <w:sz w:val="22"/>
        </w:rPr>
        <w:t>Form 4 Filing — Alvise J. Munari (MSCI), Apr 24, 2026</w:t>
      </w:r>
      <w:r>
        <w:rPr>
          <w:rFonts w:ascii="Calibri" w:hAnsi="Calibri"/>
          <w:i/>
          <w:color w:val="525866"/>
          <w:sz w:val="22"/>
        </w:rPr>
        <w:t>.</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Peer commentary from May–July 2026 is broadly constructive for MSCI — S&amp;P Global, Moody's, FactSet, and Nasdaq all described strong demand for AI-ready data, robust index/passive product flows, and healthy financial market activity during Q2 2026. The most directly relevant read-through is FactSet's July 1 Q3 earnings call, which confirmed broad-based pipeline strength and AI as a "tailwind" heading into the next quarter.</w:t>
      </w:r>
    </w:p>
    <w:p>
      <w:r>
        <w:rPr>
          <w:rFonts w:ascii="Calibri" w:hAnsi="Calibri"/>
          <w:i/>
          <w:color w:val="525866"/>
          <w:sz w:val="22"/>
        </w:rPr>
        <w:t>Scope: Only peer commentaries published May 21–July 20, 2026 that explicitly discuss the peer's then-current unreported quarter (Q2 2026 for SPGI, MCO, NDAQ; Q4 FY2026 for FDS) or are post-last-earnings updates about the current quarter are included. Peer remarks solely about their own reported prior quarter results are excluded.</w:t>
      </w:r>
    </w:p>
    <w:p>
      <w:pPr>
        <w:pStyle w:val="Heading3"/>
      </w:pPr>
      <w:r>
        <w:rPr>
          <w:rFonts w:ascii="Calibri" w:hAnsi="Calibri"/>
          <w:b/>
          <w:color w:val="3B4259"/>
          <w:sz w:val="24"/>
        </w:rPr>
        <w:t>8.1 S&amp;P Global (SPGI) — Bernstein Strategic Decisions Conference, May 27, 2026</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Attribute</w:t>
            </w:r>
          </w:p>
        </w:tc>
        <w:tc>
          <w:tcPr>
            <w:tcW w:type="dxa" w:w="4320"/>
            <w:shd w:val="clear" w:color="auto" w:fill="3B4259"/>
          </w:tcPr>
          <w:p>
            <w:r>
              <w:rPr>
                <w:rFonts w:ascii="Calibri" w:hAnsi="Calibri"/>
                <w:b/>
                <w:color w:val="FFFFFF"/>
                <w:sz w:val="22"/>
              </w:rPr>
              <w:t>Detail</w:t>
            </w:r>
          </w:p>
        </w:tc>
      </w:tr>
      <w:tr>
        <w:tc>
          <w:tcPr>
            <w:tcW w:type="dxa" w:w="4320"/>
          </w:tcPr>
          <w:p>
            <w:r>
              <w:rPr>
                <w:rFonts w:ascii="Calibri" w:hAnsi="Calibri"/>
                <w:sz w:val="22"/>
              </w:rPr>
              <w:t>Date</w:t>
            </w:r>
          </w:p>
        </w:tc>
        <w:tc>
          <w:tcPr>
            <w:tcW w:type="dxa" w:w="4320"/>
          </w:tcPr>
          <w:p>
            <w:r>
              <w:rPr>
                <w:rFonts w:ascii="Calibri" w:hAnsi="Calibri"/>
                <w:sz w:val="22"/>
              </w:rPr>
              <w:t>May 27, 2026</w:t>
            </w:r>
          </w:p>
        </w:tc>
      </w:tr>
      <w:tr>
        <w:tc>
          <w:tcPr>
            <w:tcW w:type="dxa" w:w="4320"/>
          </w:tcPr>
          <w:p>
            <w:r>
              <w:rPr>
                <w:rFonts w:ascii="Calibri" w:hAnsi="Calibri"/>
                <w:sz w:val="22"/>
              </w:rPr>
              <w:t>Peer</w:t>
            </w:r>
          </w:p>
        </w:tc>
        <w:tc>
          <w:tcPr>
            <w:tcW w:type="dxa" w:w="4320"/>
          </w:tcPr>
          <w:p>
            <w:r>
              <w:rPr>
                <w:rFonts w:ascii="Calibri" w:hAnsi="Calibri"/>
                <w:sz w:val="22"/>
              </w:rPr>
              <w:t>S&amp;P Global (SPGI) — CEO Martina Cheung</w:t>
            </w:r>
          </w:p>
        </w:tc>
      </w:tr>
      <w:tr>
        <w:tc>
          <w:tcPr>
            <w:tcW w:type="dxa" w:w="4320"/>
          </w:tcPr>
          <w:p>
            <w:r>
              <w:rPr>
                <w:rFonts w:ascii="Calibri" w:hAnsi="Calibri"/>
                <w:sz w:val="22"/>
              </w:rPr>
              <w:t>Quarter Discussed</w:t>
            </w:r>
          </w:p>
        </w:tc>
        <w:tc>
          <w:tcPr>
            <w:tcW w:type="dxa" w:w="4320"/>
          </w:tcPr>
          <w:p>
            <w:r>
              <w:rPr>
                <w:rFonts w:ascii="Calibri" w:hAnsi="Calibri"/>
                <w:sz w:val="22"/>
              </w:rPr>
              <w:t>Q2 2026 (SPGI's then-current unreported quarter)</w:t>
            </w:r>
          </w:p>
        </w:tc>
      </w:tr>
    </w:tbl>
    <w:p>
      <w:r>
        <w:rPr>
          <w:rFonts w:ascii="Calibri" w:hAnsi="Calibri"/>
          <w:b/>
          <w:color w:val="525866"/>
          <w:sz w:val="22"/>
        </w:rPr>
        <w:t>Read-Through for MSCI:</w:t>
      </w:r>
    </w:p>
    <w:p>
      <w:pPr>
        <w:pStyle w:val="ListBullet"/>
        <w:ind w:left="360" w:hanging="360"/>
      </w:pPr>
      <w:r>
        <w:rPr>
          <w:rFonts w:ascii="Calibri" w:hAnsi="Calibri"/>
          <w:b/>
          <w:color w:val="525866"/>
          <w:sz w:val="22"/>
        </w:rPr>
        <w:t>Index / ABF:</w:t>
      </w:r>
      <w:r>
        <w:rPr>
          <w:rFonts w:ascii="Calibri" w:hAnsi="Calibri"/>
          <w:color w:val="525866"/>
          <w:sz w:val="22"/>
        </w:rPr>
        <w:t xml:space="preserve"> Cheung stated that SPGI's market-driven businesses (Ratings + Index, "2/3 of revenue, 3/4 of profit") could "surprise to the upside" if "U.S. equity markets were much stronger than we imagined." SPGI's Index segment saw revenue up 17% in Q1, "mostly because of the asset-linked fee business." Custom index and data subscription "has been growing double digits for us for the last several quarters." </w:t>
      </w:r>
      <w:r>
        <w:rPr>
          <w:rFonts w:ascii="Calibri" w:hAnsi="Calibri"/>
          <w:b/>
          <w:color w:val="525866"/>
          <w:sz w:val="22"/>
        </w:rPr>
        <w:t>→ Directly positive for MSCI's ABF run rate and custom index subscription growth in Q2.</w:t>
      </w:r>
    </w:p>
    <w:p>
      <w:pPr>
        <w:pStyle w:val="ListBullet"/>
        <w:ind w:left="360" w:hanging="360"/>
      </w:pPr>
      <w:r>
        <w:rPr>
          <w:rFonts w:ascii="Calibri" w:hAnsi="Calibri"/>
          <w:b/>
          <w:color w:val="525866"/>
          <w:sz w:val="22"/>
        </w:rPr>
        <w:t>AI Monetization:</w:t>
      </w:r>
      <w:r>
        <w:rPr>
          <w:rFonts w:ascii="Calibri" w:hAnsi="Calibri"/>
          <w:color w:val="525866"/>
          <w:sz w:val="22"/>
        </w:rPr>
        <w:t xml:space="preserve"> Cheung cited clients willing to pay "35% to 45% more" for AI-ready data at renewal, and a large global bank that "subscribed to AI-ready data and made our AI-ready data their data standard for their internal AI platform." </w:t>
      </w:r>
      <w:r>
        <w:rPr>
          <w:rFonts w:ascii="Calibri" w:hAnsi="Calibri"/>
          <w:b/>
          <w:color w:val="525866"/>
          <w:sz w:val="22"/>
        </w:rPr>
        <w:t>→ Validates MSCI's emerging AI content licensing opportunity and potential for renewal uplifts.</w:t>
      </w:r>
    </w:p>
    <w:p>
      <w:pPr>
        <w:pStyle w:val="ListBullet"/>
        <w:ind w:left="360" w:hanging="360"/>
      </w:pPr>
      <w:r>
        <w:rPr>
          <w:rFonts w:ascii="Calibri" w:hAnsi="Calibri"/>
          <w:b/>
          <w:color w:val="525866"/>
          <w:sz w:val="22"/>
        </w:rPr>
        <w:t>Private Credit:</w:t>
      </w:r>
      <w:r>
        <w:rPr>
          <w:rFonts w:ascii="Calibri" w:hAnsi="Calibri"/>
          <w:color w:val="525866"/>
          <w:sz w:val="22"/>
        </w:rPr>
        <w:t xml:space="preserve"> "Additional scrutiny is really increasing the demand for high-quality independent opinions" in private credit, with growing LP interest in Europe and Asia. </w:t>
      </w:r>
      <w:r>
        <w:rPr>
          <w:rFonts w:ascii="Calibri" w:hAnsi="Calibri"/>
          <w:b/>
          <w:color w:val="525866"/>
          <w:sz w:val="22"/>
        </w:rPr>
        <w:t>→ Positive read-through for MSCI's Private Capital Solutions segment and Moody's partnership for private credit risk scoring.</w:t>
      </w:r>
    </w:p>
    <w:p>
      <w:pPr>
        <w:pStyle w:val="ListBullet"/>
        <w:ind w:left="360" w:hanging="360"/>
      </w:pPr>
      <w:r>
        <w:rPr>
          <w:rFonts w:ascii="Calibri" w:hAnsi="Calibri"/>
          <w:b/>
          <w:color w:val="525866"/>
          <w:sz w:val="22"/>
        </w:rPr>
        <w:t>Market Intelligence / Subscriptions:</w:t>
      </w:r>
      <w:r>
        <w:rPr>
          <w:rFonts w:ascii="Calibri" w:hAnsi="Calibri"/>
          <w:color w:val="525866"/>
          <w:sz w:val="22"/>
        </w:rPr>
        <w:t xml:space="preserve"> SPGI affirmed FY guidance for MI despite a "slowly growing" end market, citing "very strong" vendor consolidation opportunity and "compression of sales timelines." </w:t>
      </w:r>
      <w:r>
        <w:rPr>
          <w:rFonts w:ascii="Calibri" w:hAnsi="Calibri"/>
          <w:b/>
          <w:color w:val="525866"/>
          <w:sz w:val="22"/>
        </w:rPr>
        <w:t>→ Vendor consolidation trend benefits MSCI's subscription business as clients rationalize data providers.</w:t>
      </w:r>
    </w:p>
    <w:p>
      <w:r>
        <w:rPr>
          <w:rFonts w:ascii="Calibri" w:hAnsi="Calibri"/>
          <w:b/>
          <w:color w:val="525866"/>
          <w:sz w:val="22"/>
        </w:rPr>
        <w:t>Limitation:</w:t>
      </w:r>
      <w:r>
        <w:rPr>
          <w:rFonts w:ascii="Calibri" w:hAnsi="Calibri"/>
          <w:i/>
          <w:color w:val="525866"/>
          <w:sz w:val="22"/>
        </w:rPr>
        <w:t xml:space="preserve"> SPGI's index business is primarily S&amp;P 500-linked (U.S. equities), while MSCI's ABF is predominantly international/EM-linked. SPGI's AI monetization examples are specific to CapIQ and may not directly translate to MSCI's index/analytics pricing model. Source: S&amp;P Global Bernstein Strategic Decisions Conference Transcript, May 27, 2026.</w:t>
      </w:r>
    </w:p>
    <w:p>
      <w:pPr>
        <w:pStyle w:val="Heading3"/>
      </w:pPr>
      <w:r>
        <w:rPr>
          <w:rFonts w:ascii="Calibri" w:hAnsi="Calibri"/>
          <w:b/>
          <w:color w:val="3B4259"/>
          <w:sz w:val="24"/>
        </w:rPr>
        <w:t>8.2 S&amp;P Global (SPGI) — Mizuho Technology Conference, June 10, 2026</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Attribute</w:t>
            </w:r>
          </w:p>
        </w:tc>
        <w:tc>
          <w:tcPr>
            <w:tcW w:type="dxa" w:w="4320"/>
            <w:shd w:val="clear" w:color="auto" w:fill="3B4259"/>
          </w:tcPr>
          <w:p>
            <w:r>
              <w:rPr>
                <w:rFonts w:ascii="Calibri" w:hAnsi="Calibri"/>
                <w:b/>
                <w:color w:val="FFFFFF"/>
                <w:sz w:val="22"/>
              </w:rPr>
              <w:t>Detail</w:t>
            </w:r>
          </w:p>
        </w:tc>
      </w:tr>
      <w:tr>
        <w:tc>
          <w:tcPr>
            <w:tcW w:type="dxa" w:w="4320"/>
          </w:tcPr>
          <w:p>
            <w:r>
              <w:rPr>
                <w:rFonts w:ascii="Calibri" w:hAnsi="Calibri"/>
                <w:sz w:val="22"/>
              </w:rPr>
              <w:t>Date</w:t>
            </w:r>
          </w:p>
        </w:tc>
        <w:tc>
          <w:tcPr>
            <w:tcW w:type="dxa" w:w="4320"/>
          </w:tcPr>
          <w:p>
            <w:r>
              <w:rPr>
                <w:rFonts w:ascii="Calibri" w:hAnsi="Calibri"/>
                <w:sz w:val="22"/>
              </w:rPr>
              <w:t>June 10, 2026</w:t>
            </w:r>
          </w:p>
        </w:tc>
      </w:tr>
      <w:tr>
        <w:tc>
          <w:tcPr>
            <w:tcW w:type="dxa" w:w="4320"/>
          </w:tcPr>
          <w:p>
            <w:r>
              <w:rPr>
                <w:rFonts w:ascii="Calibri" w:hAnsi="Calibri"/>
                <w:sz w:val="22"/>
              </w:rPr>
              <w:t>Peer</w:t>
            </w:r>
          </w:p>
        </w:tc>
        <w:tc>
          <w:tcPr>
            <w:tcW w:type="dxa" w:w="4320"/>
          </w:tcPr>
          <w:p>
            <w:r>
              <w:rPr>
                <w:rFonts w:ascii="Calibri" w:hAnsi="Calibri"/>
                <w:sz w:val="22"/>
              </w:rPr>
              <w:t>S&amp;P Global (SPGI) — SVP Investor Relations Mark Grant</w:t>
            </w:r>
          </w:p>
        </w:tc>
      </w:tr>
      <w:tr>
        <w:tc>
          <w:tcPr>
            <w:tcW w:type="dxa" w:w="4320"/>
          </w:tcPr>
          <w:p>
            <w:r>
              <w:rPr>
                <w:rFonts w:ascii="Calibri" w:hAnsi="Calibri"/>
                <w:sz w:val="22"/>
              </w:rPr>
              <w:t>Quarter Discussed</w:t>
            </w:r>
          </w:p>
        </w:tc>
        <w:tc>
          <w:tcPr>
            <w:tcW w:type="dxa" w:w="4320"/>
          </w:tcPr>
          <w:p>
            <w:r>
              <w:rPr>
                <w:rFonts w:ascii="Calibri" w:hAnsi="Calibri"/>
                <w:sz w:val="22"/>
              </w:rPr>
              <w:t>Q2 2026 (SPGI's then-current unreported quarter)</w:t>
            </w:r>
          </w:p>
        </w:tc>
      </w:tr>
    </w:tbl>
    <w:p>
      <w:r>
        <w:rPr>
          <w:rFonts w:ascii="Calibri" w:hAnsi="Calibri"/>
          <w:b/>
          <w:color w:val="525866"/>
          <w:sz w:val="22"/>
        </w:rPr>
        <w:t>Read-Through for MSCI:</w:t>
      </w:r>
    </w:p>
    <w:p>
      <w:pPr>
        <w:pStyle w:val="ListBullet"/>
        <w:ind w:left="360" w:hanging="360"/>
      </w:pPr>
      <w:r>
        <w:rPr>
          <w:rFonts w:ascii="Calibri" w:hAnsi="Calibri"/>
          <w:b/>
          <w:color w:val="525866"/>
          <w:sz w:val="22"/>
        </w:rPr>
        <w:t>AI Data Demand:</w:t>
      </w:r>
      <w:r>
        <w:rPr>
          <w:rFonts w:ascii="Calibri" w:hAnsi="Calibri"/>
          <w:color w:val="525866"/>
          <w:sz w:val="22"/>
        </w:rPr>
        <w:t xml:space="preserve"> Grant reported that API call volumes through MCP connections "increased 500% quarter-over-quarter, 100% month-over-month" and that Market Intelligence growth "is running 30% higher for AI customers versus non-AI customers." Net renewal rates "increased 100 basis points last quarter." </w:t>
      </w:r>
      <w:r>
        <w:rPr>
          <w:rFonts w:ascii="Calibri" w:hAnsi="Calibri"/>
          <w:b/>
          <w:color w:val="525866"/>
          <w:sz w:val="22"/>
        </w:rPr>
        <w:t>→ Signals accelerating demand for financial data in AI workflows — directly relevant to MSCI's emerging AI content licensing opportunity and subscription renewal dynamics.</w:t>
      </w:r>
    </w:p>
    <w:p>
      <w:pPr>
        <w:pStyle w:val="ListBullet"/>
        <w:ind w:left="360" w:hanging="360"/>
      </w:pPr>
      <w:r>
        <w:rPr>
          <w:rFonts w:ascii="Calibri" w:hAnsi="Calibri"/>
          <w:b/>
          <w:color w:val="525866"/>
          <w:sz w:val="22"/>
        </w:rPr>
        <w:t>Index / ABF:</w:t>
      </w:r>
      <w:r>
        <w:rPr>
          <w:rFonts w:ascii="Calibri" w:hAnsi="Calibri"/>
          <w:color w:val="525866"/>
          <w:sz w:val="22"/>
        </w:rPr>
        <w:t xml:space="preserve"> SPGI's Index revenue was up 17% in Q1, "mostly because of the asset-linked fee business." Grant reiterated that "when fund flows benefit our customers, they benefit us as well." </w:t>
      </w:r>
      <w:r>
        <w:rPr>
          <w:rFonts w:ascii="Calibri" w:hAnsi="Calibri"/>
          <w:b/>
          <w:color w:val="525866"/>
          <w:sz w:val="22"/>
        </w:rPr>
        <w:t>→ Confirms the asset-linked fee tailwind environment that should benefit MSCI's ABF run rate in Q2.</w:t>
      </w:r>
    </w:p>
    <w:p>
      <w:pPr>
        <w:pStyle w:val="ListBullet"/>
        <w:ind w:left="360" w:hanging="360"/>
      </w:pPr>
      <w:r>
        <w:rPr>
          <w:rFonts w:ascii="Calibri" w:hAnsi="Calibri"/>
          <w:b/>
          <w:color w:val="525866"/>
          <w:sz w:val="22"/>
        </w:rPr>
        <w:t>Private Markets:</w:t>
      </w:r>
      <w:r>
        <w:rPr>
          <w:rFonts w:ascii="Calibri" w:hAnsi="Calibri"/>
          <w:color w:val="525866"/>
          <w:sz w:val="22"/>
        </w:rPr>
        <w:t xml:space="preserve"> Private credit was up 25% for SPGI Ratings YoY in Q1. </w:t>
      </w:r>
      <w:r>
        <w:rPr>
          <w:rFonts w:ascii="Calibri" w:hAnsi="Calibri"/>
          <w:b/>
          <w:color w:val="525866"/>
          <w:sz w:val="22"/>
        </w:rPr>
        <w:t>→ Positive for MSCI's private credit transparency tools and PCS segment.</w:t>
      </w:r>
    </w:p>
    <w:p>
      <w:r>
        <w:rPr>
          <w:rFonts w:ascii="Calibri" w:hAnsi="Calibri"/>
          <w:b/>
          <w:color w:val="525866"/>
          <w:sz w:val="22"/>
        </w:rPr>
        <w:t>Limitation:</w:t>
      </w:r>
      <w:r>
        <w:rPr>
          <w:rFonts w:ascii="Calibri" w:hAnsi="Calibri"/>
          <w:i/>
          <w:color w:val="525866"/>
          <w:sz w:val="22"/>
        </w:rPr>
        <w:t xml:space="preserve"> The 500% QoQ API call increase is specific to SPGI's proprietary MCP connections and CapIQ platform and may not directly translate to MSCI's product usage or growth rates. SPGI's private credit growth is in its Ratings business, which has a different revenue model than MSCI's analytics/data approach. Source: S&amp;P Global Mizuho Technology Conference Transcript, June 10, 2026.</w:t>
      </w:r>
    </w:p>
    <w:p>
      <w:pPr>
        <w:pStyle w:val="Heading3"/>
      </w:pPr>
      <w:r>
        <w:rPr>
          <w:rFonts w:ascii="Calibri" w:hAnsi="Calibri"/>
          <w:b/>
          <w:color w:val="3B4259"/>
          <w:sz w:val="24"/>
        </w:rPr>
        <w:t>8.3 Moody's Corporation (MCO) — Bernstein Strategic Decisions Conference, May 28, 2026</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Attribute</w:t>
            </w:r>
          </w:p>
        </w:tc>
        <w:tc>
          <w:tcPr>
            <w:tcW w:type="dxa" w:w="4320"/>
            <w:shd w:val="clear" w:color="auto" w:fill="3B4259"/>
          </w:tcPr>
          <w:p>
            <w:r>
              <w:rPr>
                <w:rFonts w:ascii="Calibri" w:hAnsi="Calibri"/>
                <w:b/>
                <w:color w:val="FFFFFF"/>
                <w:sz w:val="22"/>
              </w:rPr>
              <w:t>Detail</w:t>
            </w:r>
          </w:p>
        </w:tc>
      </w:tr>
      <w:tr>
        <w:tc>
          <w:tcPr>
            <w:tcW w:type="dxa" w:w="4320"/>
          </w:tcPr>
          <w:p>
            <w:r>
              <w:rPr>
                <w:rFonts w:ascii="Calibri" w:hAnsi="Calibri"/>
                <w:sz w:val="22"/>
              </w:rPr>
              <w:t>Date</w:t>
            </w:r>
          </w:p>
        </w:tc>
        <w:tc>
          <w:tcPr>
            <w:tcW w:type="dxa" w:w="4320"/>
          </w:tcPr>
          <w:p>
            <w:r>
              <w:rPr>
                <w:rFonts w:ascii="Calibri" w:hAnsi="Calibri"/>
                <w:sz w:val="22"/>
              </w:rPr>
              <w:t>May 28, 2026</w:t>
            </w:r>
          </w:p>
        </w:tc>
      </w:tr>
      <w:tr>
        <w:tc>
          <w:tcPr>
            <w:tcW w:type="dxa" w:w="4320"/>
          </w:tcPr>
          <w:p>
            <w:r>
              <w:rPr>
                <w:rFonts w:ascii="Calibri" w:hAnsi="Calibri"/>
                <w:sz w:val="22"/>
              </w:rPr>
              <w:t>Peer</w:t>
            </w:r>
          </w:p>
        </w:tc>
        <w:tc>
          <w:tcPr>
            <w:tcW w:type="dxa" w:w="4320"/>
          </w:tcPr>
          <w:p>
            <w:r>
              <w:rPr>
                <w:rFonts w:ascii="Calibri" w:hAnsi="Calibri"/>
                <w:sz w:val="22"/>
              </w:rPr>
              <w:t>Moody's Corporation (MCO) — President &amp; CEO Robert Fauber</w:t>
            </w:r>
          </w:p>
        </w:tc>
      </w:tr>
      <w:tr>
        <w:tc>
          <w:tcPr>
            <w:tcW w:type="dxa" w:w="4320"/>
          </w:tcPr>
          <w:p>
            <w:r>
              <w:rPr>
                <w:rFonts w:ascii="Calibri" w:hAnsi="Calibri"/>
                <w:sz w:val="22"/>
              </w:rPr>
              <w:t>Quarter Discussed</w:t>
            </w:r>
          </w:p>
        </w:tc>
        <w:tc>
          <w:tcPr>
            <w:tcW w:type="dxa" w:w="4320"/>
          </w:tcPr>
          <w:p>
            <w:r>
              <w:rPr>
                <w:rFonts w:ascii="Calibri" w:hAnsi="Calibri"/>
                <w:sz w:val="22"/>
              </w:rPr>
              <w:t>Q2 2026 (MCO's then-current unreported quarter)</w:t>
            </w:r>
          </w:p>
        </w:tc>
      </w:tr>
    </w:tbl>
    <w:p>
      <w:r>
        <w:rPr>
          <w:rFonts w:ascii="Calibri" w:hAnsi="Calibri"/>
          <w:b/>
          <w:color w:val="525866"/>
          <w:sz w:val="22"/>
        </w:rPr>
        <w:t>Read-Through for MSCI:</w:t>
      </w:r>
    </w:p>
    <w:p>
      <w:pPr>
        <w:pStyle w:val="ListBullet"/>
        <w:ind w:left="360" w:hanging="360"/>
      </w:pPr>
      <w:r>
        <w:rPr>
          <w:rFonts w:ascii="Calibri" w:hAnsi="Calibri"/>
          <w:b/>
          <w:color w:val="525866"/>
          <w:sz w:val="22"/>
        </w:rPr>
        <w:t>AI Integration Demand:</w:t>
      </w:r>
      <w:r>
        <w:rPr>
          <w:rFonts w:ascii="Calibri" w:hAnsi="Calibri"/>
          <w:color w:val="525866"/>
          <w:sz w:val="22"/>
        </w:rPr>
        <w:t xml:space="preserve"> Fauber described "in the teens" number of engagements with major financial institutions for Moody's AI content integration, with "a handful" already in active pilot discussions — "just in the span of several weeks." A "sales SWAT team" is engaging major banks on consuming Moody's intelligence into their AI platforms, with "a very nice pipeline." </w:t>
      </w:r>
      <w:r>
        <w:rPr>
          <w:rFonts w:ascii="Calibri" w:hAnsi="Calibri"/>
          <w:b/>
          <w:color w:val="525866"/>
          <w:sz w:val="22"/>
        </w:rPr>
        <w:t>→ Validates the industry-wide trend of financial institutions embedding trusted data providers into AI workflows — directly relevant to MSCI's AI content licensing opportunity.</w:t>
      </w:r>
    </w:p>
    <w:p>
      <w:pPr>
        <w:pStyle w:val="ListBullet"/>
        <w:ind w:left="360" w:hanging="360"/>
      </w:pPr>
      <w:r>
        <w:rPr>
          <w:rFonts w:ascii="Calibri" w:hAnsi="Calibri"/>
          <w:b/>
          <w:color w:val="525866"/>
          <w:sz w:val="22"/>
        </w:rPr>
        <w:t>Private Credit:</w:t>
      </w:r>
      <w:r>
        <w:rPr>
          <w:rFonts w:ascii="Calibri" w:hAnsi="Calibri"/>
          <w:color w:val="525866"/>
          <w:sz w:val="22"/>
        </w:rPr>
        <w:t xml:space="preserve"> Private credit grew 80% for Moody's Ratings in Q1. Fauber noted "a lot more investor demand for our credit scoring and assessment capabilities" and described Fund Finance as "a booming $1 trillion ecosystem." </w:t>
      </w:r>
      <w:r>
        <w:rPr>
          <w:rFonts w:ascii="Calibri" w:hAnsi="Calibri"/>
          <w:b/>
          <w:color w:val="525866"/>
          <w:sz w:val="22"/>
        </w:rPr>
        <w:t>→ Strong private credit market activity is a tailwind for MSCI's private credit transparency tools and Moody's partnership for private credit risk scoring.</w:t>
      </w:r>
    </w:p>
    <w:p>
      <w:pPr>
        <w:pStyle w:val="ListBullet"/>
        <w:ind w:left="360" w:hanging="360"/>
      </w:pPr>
      <w:r>
        <w:rPr>
          <w:rFonts w:ascii="Calibri" w:hAnsi="Calibri"/>
          <w:b/>
          <w:color w:val="525866"/>
          <w:sz w:val="22"/>
        </w:rPr>
        <w:t>Capital Markets Backdrop:</w:t>
      </w:r>
      <w:r>
        <w:rPr>
          <w:rFonts w:ascii="Calibri" w:hAnsi="Calibri"/>
          <w:color w:val="525866"/>
          <w:sz w:val="22"/>
        </w:rPr>
        <w:t xml:space="preserve"> Fauber confirmed FY guidance unchanged, described markets as "pretty constructive right now," and noted M&amp;A has "continued into this year." The private equity exit/M&amp;A cycle "hasn't really kicked into high gear" yet — framed as future upside. </w:t>
      </w:r>
      <w:r>
        <w:rPr>
          <w:rFonts w:ascii="Calibri" w:hAnsi="Calibri"/>
          <w:b/>
          <w:color w:val="525866"/>
          <w:sz w:val="22"/>
        </w:rPr>
        <w:t>→ Constructive capital markets backdrop supports MSCI's ABF revenue and subscription sales pipeline.</w:t>
      </w:r>
    </w:p>
    <w:p>
      <w:pPr>
        <w:pStyle w:val="ListBullet"/>
        <w:ind w:left="360" w:hanging="360"/>
      </w:pPr>
      <w:r>
        <w:rPr>
          <w:rFonts w:ascii="Calibri" w:hAnsi="Calibri"/>
          <w:b/>
          <w:color w:val="525866"/>
          <w:sz w:val="22"/>
        </w:rPr>
        <w:t>Margin Efficiency from AI:</w:t>
      </w:r>
      <w:r>
        <w:rPr>
          <w:rFonts w:ascii="Calibri" w:hAnsi="Calibri"/>
          <w:color w:val="525866"/>
          <w:sz w:val="22"/>
        </w:rPr>
        <w:t xml:space="preserve"> Fauber noted AI efficiency gains will allow Moody's to "harvest and invest where we need to invest, and some of that efficiency opportunity is going to go into the margin." </w:t>
      </w:r>
      <w:r>
        <w:rPr>
          <w:rFonts w:ascii="Calibri" w:hAnsi="Calibri"/>
          <w:b/>
          <w:color w:val="525866"/>
          <w:sz w:val="22"/>
        </w:rPr>
        <w:t>→ Consistent with MSCI's own AI efficiency narrative; validates the sector-wide margin expansion thesis.</w:t>
      </w:r>
    </w:p>
    <w:p>
      <w:r>
        <w:rPr>
          <w:rFonts w:ascii="Calibri" w:hAnsi="Calibri"/>
          <w:b/>
          <w:color w:val="525866"/>
          <w:sz w:val="22"/>
        </w:rPr>
        <w:t>Limitation:</w:t>
      </w:r>
      <w:r>
        <w:rPr>
          <w:rFonts w:ascii="Calibri" w:hAnsi="Calibri"/>
          <w:i/>
          <w:color w:val="525866"/>
          <w:sz w:val="22"/>
        </w:rPr>
        <w:t xml:space="preserve"> Moody's AI engagement figures are early-stage and not yet monetized at scale. The private credit growth is in Moody's Ratings business (transaction-based), which has a different revenue model than MSCI's subscription/analytics approach. Source: Moody's Bernstein Strategic Decisions Conference Transcript, May 28, 2026.</w:t>
      </w:r>
    </w:p>
    <w:p>
      <w:pPr>
        <w:pStyle w:val="Heading3"/>
      </w:pPr>
      <w:r>
        <w:rPr>
          <w:rFonts w:ascii="Calibri" w:hAnsi="Calibri"/>
          <w:b/>
          <w:color w:val="3B4259"/>
          <w:sz w:val="24"/>
        </w:rPr>
        <w:t>8.4 Nasdaq (NDAQ) — Morgan Stanley U.S. Financials Conference, June 9, 2026</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Attribute</w:t>
            </w:r>
          </w:p>
        </w:tc>
        <w:tc>
          <w:tcPr>
            <w:tcW w:type="dxa" w:w="4320"/>
            <w:shd w:val="clear" w:color="auto" w:fill="3B4259"/>
          </w:tcPr>
          <w:p>
            <w:r>
              <w:rPr>
                <w:rFonts w:ascii="Calibri" w:hAnsi="Calibri"/>
                <w:b/>
                <w:color w:val="FFFFFF"/>
                <w:sz w:val="22"/>
              </w:rPr>
              <w:t>Detail</w:t>
            </w:r>
          </w:p>
        </w:tc>
      </w:tr>
      <w:tr>
        <w:tc>
          <w:tcPr>
            <w:tcW w:type="dxa" w:w="4320"/>
          </w:tcPr>
          <w:p>
            <w:r>
              <w:rPr>
                <w:rFonts w:ascii="Calibri" w:hAnsi="Calibri"/>
                <w:sz w:val="22"/>
              </w:rPr>
              <w:t>Date</w:t>
            </w:r>
          </w:p>
        </w:tc>
        <w:tc>
          <w:tcPr>
            <w:tcW w:type="dxa" w:w="4320"/>
          </w:tcPr>
          <w:p>
            <w:r>
              <w:rPr>
                <w:rFonts w:ascii="Calibri" w:hAnsi="Calibri"/>
                <w:sz w:val="22"/>
              </w:rPr>
              <w:t>June 9, 2026</w:t>
            </w:r>
          </w:p>
        </w:tc>
      </w:tr>
      <w:tr>
        <w:tc>
          <w:tcPr>
            <w:tcW w:type="dxa" w:w="4320"/>
          </w:tcPr>
          <w:p>
            <w:r>
              <w:rPr>
                <w:rFonts w:ascii="Calibri" w:hAnsi="Calibri"/>
                <w:sz w:val="22"/>
              </w:rPr>
              <w:t>Peer</w:t>
            </w:r>
          </w:p>
        </w:tc>
        <w:tc>
          <w:tcPr>
            <w:tcW w:type="dxa" w:w="4320"/>
          </w:tcPr>
          <w:p>
            <w:r>
              <w:rPr>
                <w:rFonts w:ascii="Calibri" w:hAnsi="Calibri"/>
                <w:sz w:val="22"/>
              </w:rPr>
              <w:t>Nasdaq (NDAQ) — President Tal Cohen</w:t>
            </w:r>
          </w:p>
        </w:tc>
      </w:tr>
      <w:tr>
        <w:tc>
          <w:tcPr>
            <w:tcW w:type="dxa" w:w="4320"/>
          </w:tcPr>
          <w:p>
            <w:r>
              <w:rPr>
                <w:rFonts w:ascii="Calibri" w:hAnsi="Calibri"/>
                <w:sz w:val="22"/>
              </w:rPr>
              <w:t>Quarter Discussed</w:t>
            </w:r>
          </w:p>
        </w:tc>
        <w:tc>
          <w:tcPr>
            <w:tcW w:type="dxa" w:w="4320"/>
          </w:tcPr>
          <w:p>
            <w:r>
              <w:rPr>
                <w:rFonts w:ascii="Calibri" w:hAnsi="Calibri"/>
                <w:sz w:val="22"/>
              </w:rPr>
              <w:t>Q2 2026 (NDAQ's then-current unreported quarter; April, May, early June)</w:t>
            </w:r>
          </w:p>
        </w:tc>
      </w:tr>
    </w:tbl>
    <w:p>
      <w:r>
        <w:rPr>
          <w:rFonts w:ascii="Calibri" w:hAnsi="Calibri"/>
          <w:b/>
          <w:color w:val="525866"/>
          <w:sz w:val="22"/>
        </w:rPr>
        <w:t>Read-Through for MSCI:</w:t>
      </w:r>
    </w:p>
    <w:p>
      <w:pPr>
        <w:pStyle w:val="ListBullet"/>
        <w:ind w:left="360" w:hanging="360"/>
      </w:pPr>
      <w:r>
        <w:rPr>
          <w:rFonts w:ascii="Calibri" w:hAnsi="Calibri"/>
          <w:b/>
          <w:color w:val="525866"/>
          <w:sz w:val="22"/>
        </w:rPr>
        <w:t>Market Backdrop (Q2 2026):</w:t>
      </w:r>
      <w:r>
        <w:rPr>
          <w:rFonts w:ascii="Calibri" w:hAnsi="Calibri"/>
          <w:color w:val="525866"/>
          <w:sz w:val="22"/>
        </w:rPr>
        <w:t xml:space="preserve"> Cohen explicitly described Q2 macro themes: "strong corporate earnings," "strong retail engagement," "constructive regulatory backdrop," and "AI, and the AI trade continues to be a strong tailwind for us." </w:t>
      </w:r>
      <w:r>
        <w:rPr>
          <w:rFonts w:ascii="Calibri" w:hAnsi="Calibri"/>
          <w:b/>
          <w:color w:val="525866"/>
          <w:sz w:val="22"/>
        </w:rPr>
        <w:t>→ Directly positive for MSCI's ABF revenue — strong equity markets and retail engagement drive ETF inflows into MSCI-linked products.</w:t>
      </w:r>
    </w:p>
    <w:p>
      <w:pPr>
        <w:pStyle w:val="ListBullet"/>
        <w:ind w:left="360" w:hanging="360"/>
      </w:pPr>
      <w:r>
        <w:rPr>
          <w:rFonts w:ascii="Calibri" w:hAnsi="Calibri"/>
          <w:b/>
          <w:color w:val="525866"/>
          <w:sz w:val="22"/>
        </w:rPr>
        <w:t>Index Options Growth:</w:t>
      </w:r>
      <w:r>
        <w:rPr>
          <w:rFonts w:ascii="Calibri" w:hAnsi="Calibri"/>
          <w:color w:val="525866"/>
          <w:sz w:val="22"/>
        </w:rPr>
        <w:t xml:space="preserve"> Nasdaq's index options business "has grown over 60% year-over-year." </w:t>
      </w:r>
      <w:r>
        <w:rPr>
          <w:rFonts w:ascii="Calibri" w:hAnsi="Calibri"/>
          <w:b/>
          <w:color w:val="525866"/>
          <w:sz w:val="22"/>
        </w:rPr>
        <w:t>→ Robust demand for index-based derivatives suggests strong licensing fee and data usage for MSCI's index IP.</w:t>
      </w:r>
    </w:p>
    <w:p>
      <w:pPr>
        <w:pStyle w:val="ListBullet"/>
        <w:ind w:left="360" w:hanging="360"/>
      </w:pPr>
      <w:r>
        <w:rPr>
          <w:rFonts w:ascii="Calibri" w:hAnsi="Calibri"/>
          <w:b/>
          <w:color w:val="525866"/>
          <w:sz w:val="22"/>
        </w:rPr>
        <w:t>Capital Access Platforms (Index + Data):</w:t>
      </w:r>
      <w:r>
        <w:rPr>
          <w:rFonts w:ascii="Calibri" w:hAnsi="Calibri"/>
          <w:color w:val="525866"/>
          <w:sz w:val="22"/>
        </w:rPr>
        <w:t xml:space="preserve"> Nasdaq's Capital Access Platforms (listings, market data, index, analytics) delivered "double-digit growth in 2025 and into 2026." Nasdaq's index business has "over $900 billion of AUM today tied to indexes." </w:t>
      </w:r>
      <w:r>
        <w:rPr>
          <w:rFonts w:ascii="Calibri" w:hAnsi="Calibri"/>
          <w:b/>
          <w:color w:val="525866"/>
          <w:sz w:val="22"/>
        </w:rPr>
        <w:t>→ Confirms robust demand for index and data products across the industry, consistent with MSCI's own momentum.</w:t>
      </w:r>
    </w:p>
    <w:p>
      <w:r>
        <w:rPr>
          <w:rFonts w:ascii="Calibri" w:hAnsi="Calibri"/>
          <w:b/>
          <w:color w:val="525866"/>
          <w:sz w:val="22"/>
        </w:rPr>
        <w:t>Limitation:</w:t>
      </w:r>
      <w:r>
        <w:rPr>
          <w:rFonts w:ascii="Calibri" w:hAnsi="Calibri"/>
          <w:i/>
          <w:color w:val="525866"/>
          <w:sz w:val="22"/>
        </w:rPr>
        <w:t xml:space="preserve"> Nasdaq's index business is primarily Nasdaq-100 linked (U.S. tech-heavy), while MSCI's ABF is predominantly international/EM-linked. The macro tailwinds described are qualitative and not specific to MSCI's client base or product mix. Source: Nasdaq Morgan Stanley U.S. Financials Conference Transcript, June 9, 2026.</w:t>
      </w:r>
    </w:p>
    <w:p>
      <w:pPr>
        <w:pStyle w:val="Heading3"/>
      </w:pPr>
      <w:r>
        <w:rPr>
          <w:rFonts w:ascii="Calibri" w:hAnsi="Calibri"/>
          <w:b/>
          <w:color w:val="3B4259"/>
          <w:sz w:val="24"/>
        </w:rPr>
        <w:t>8.5 FactSet Research Systems (FDS) — Q3 FY2026 Earnings Call, July 1, 2026</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Attribute</w:t>
            </w:r>
          </w:p>
        </w:tc>
        <w:tc>
          <w:tcPr>
            <w:tcW w:type="dxa" w:w="4320"/>
            <w:shd w:val="clear" w:color="auto" w:fill="3B4259"/>
          </w:tcPr>
          <w:p>
            <w:r>
              <w:rPr>
                <w:rFonts w:ascii="Calibri" w:hAnsi="Calibri"/>
                <w:b/>
                <w:color w:val="FFFFFF"/>
                <w:sz w:val="22"/>
              </w:rPr>
              <w:t>Detail</w:t>
            </w:r>
          </w:p>
        </w:tc>
      </w:tr>
      <w:tr>
        <w:tc>
          <w:tcPr>
            <w:tcW w:type="dxa" w:w="4320"/>
          </w:tcPr>
          <w:p>
            <w:r>
              <w:rPr>
                <w:rFonts w:ascii="Calibri" w:hAnsi="Calibri"/>
                <w:sz w:val="22"/>
              </w:rPr>
              <w:t>Date</w:t>
            </w:r>
          </w:p>
        </w:tc>
        <w:tc>
          <w:tcPr>
            <w:tcW w:type="dxa" w:w="4320"/>
          </w:tcPr>
          <w:p>
            <w:r>
              <w:rPr>
                <w:rFonts w:ascii="Calibri" w:hAnsi="Calibri"/>
                <w:sz w:val="22"/>
              </w:rPr>
              <w:t>July 1, 2026</w:t>
            </w:r>
          </w:p>
        </w:tc>
      </w:tr>
      <w:tr>
        <w:tc>
          <w:tcPr>
            <w:tcW w:type="dxa" w:w="4320"/>
          </w:tcPr>
          <w:p>
            <w:r>
              <w:rPr>
                <w:rFonts w:ascii="Calibri" w:hAnsi="Calibri"/>
                <w:sz w:val="22"/>
              </w:rPr>
              <w:t>Peer</w:t>
            </w:r>
          </w:p>
        </w:tc>
        <w:tc>
          <w:tcPr>
            <w:tcW w:type="dxa" w:w="4320"/>
          </w:tcPr>
          <w:p>
            <w:r>
              <w:rPr>
                <w:rFonts w:ascii="Calibri" w:hAnsi="Calibri"/>
                <w:sz w:val="22"/>
              </w:rPr>
              <w:t>FactSet Research Systems (FDS) — CEO Sanyog Vishwanathan &amp; CFO Josh Warren</w:t>
            </w:r>
          </w:p>
        </w:tc>
      </w:tr>
      <w:tr>
        <w:tc>
          <w:tcPr>
            <w:tcW w:type="dxa" w:w="4320"/>
          </w:tcPr>
          <w:p>
            <w:r>
              <w:rPr>
                <w:rFonts w:ascii="Calibri" w:hAnsi="Calibri"/>
                <w:sz w:val="22"/>
              </w:rPr>
              <w:t>Quarter Discussed</w:t>
            </w:r>
          </w:p>
        </w:tc>
        <w:tc>
          <w:tcPr>
            <w:tcW w:type="dxa" w:w="4320"/>
          </w:tcPr>
          <w:p>
            <w:r>
              <w:rPr>
                <w:rFonts w:ascii="Calibri" w:hAnsi="Calibri"/>
                <w:sz w:val="22"/>
              </w:rPr>
              <w:t>Q4 FY2026 (FDS's then-current unreported quarter; June–August 2026)</w:t>
            </w:r>
          </w:p>
        </w:tc>
      </w:tr>
    </w:tbl>
    <w:p>
      <w:r>
        <w:rPr>
          <w:rFonts w:ascii="Calibri" w:hAnsi="Calibri"/>
          <w:b/>
          <w:color w:val="525866"/>
          <w:sz w:val="22"/>
        </w:rPr>
        <w:t>Read-Through for MSCI:</w:t>
      </w:r>
    </w:p>
    <w:p>
      <w:pPr>
        <w:pStyle w:val="ListBullet"/>
        <w:ind w:left="360" w:hanging="360"/>
      </w:pPr>
      <w:r>
        <w:rPr>
          <w:rFonts w:ascii="Calibri" w:hAnsi="Calibri"/>
          <w:b/>
          <w:color w:val="525866"/>
          <w:sz w:val="22"/>
        </w:rPr>
        <w:t>Demand Momentum:</w:t>
      </w:r>
      <w:r>
        <w:rPr>
          <w:rFonts w:ascii="Calibri" w:hAnsi="Calibri"/>
          <w:color w:val="525866"/>
          <w:sz w:val="22"/>
        </w:rPr>
        <w:t xml:space="preserve"> CEO Vishwanathan stated that "just a month into the quarter, we see that momentum has continued" with a "strong, diverse pipeline of clients" that is "broad based, across regions and across all of the different client types." As of end of June/early July, FDS is "ahead of last year in terms of our bookings" with a pipeline "as robust as we saw at this time last year." </w:t>
      </w:r>
      <w:r>
        <w:rPr>
          <w:rFonts w:ascii="Calibri" w:hAnsi="Calibri"/>
          <w:b/>
          <w:color w:val="525866"/>
          <w:sz w:val="22"/>
        </w:rPr>
        <w:t>→ Broad-based demand momentum across client types and regions is directly positive for MSCI's subscription sales pipeline heading into Q2.</w:t>
      </w:r>
    </w:p>
    <w:p>
      <w:pPr>
        <w:pStyle w:val="ListBullet"/>
        <w:ind w:left="360" w:hanging="360"/>
      </w:pPr>
      <w:r>
        <w:rPr>
          <w:rFonts w:ascii="Calibri" w:hAnsi="Calibri"/>
          <w:b/>
          <w:color w:val="525866"/>
          <w:sz w:val="22"/>
        </w:rPr>
        <w:t>AI as Tailwind:</w:t>
      </w:r>
      <w:r>
        <w:rPr>
          <w:rFonts w:ascii="Calibri" w:hAnsi="Calibri"/>
          <w:color w:val="525866"/>
          <w:sz w:val="22"/>
        </w:rPr>
        <w:t xml:space="preserve"> AI is described as "a tailwind for us" and is "helping us now in terms of reaffirming guidance." FDS is seeing "significant client interest in rationalizing various experimental efforts and consolidating their AI implementations with us." "Strong early engagement with active or pipeline trials at over 30 of our top 100 banking clients" for AI agent suites. </w:t>
      </w:r>
      <w:r>
        <w:rPr>
          <w:rFonts w:ascii="Calibri" w:hAnsi="Calibri"/>
          <w:b/>
          <w:color w:val="525866"/>
          <w:sz w:val="22"/>
        </w:rPr>
        <w:t>→ AI-driven vendor consolidation is a direct read-through for MSCI's subscription retention and upsell dynamics.</w:t>
      </w:r>
    </w:p>
    <w:p>
      <w:pPr>
        <w:pStyle w:val="ListBullet"/>
        <w:ind w:left="360" w:hanging="360"/>
      </w:pPr>
      <w:r>
        <w:rPr>
          <w:rFonts w:ascii="Calibri" w:hAnsi="Calibri"/>
          <w:b/>
          <w:color w:val="525866"/>
          <w:sz w:val="22"/>
        </w:rPr>
        <w:t>AI Multiplier Effect:</w:t>
      </w:r>
      <w:r>
        <w:rPr>
          <w:rFonts w:ascii="Calibri" w:hAnsi="Calibri"/>
          <w:color w:val="525866"/>
          <w:sz w:val="22"/>
        </w:rPr>
        <w:t xml:space="preserve"> CEO noted that "whenever there is AI consumption through MCP, it is actually leading to an upsizing of our existing products" — a "multiplier effect on the existing business." ~20% of MCP endpoint users are "net new users." </w:t>
      </w:r>
      <w:r>
        <w:rPr>
          <w:rFonts w:ascii="Calibri" w:hAnsi="Calibri"/>
          <w:b/>
          <w:color w:val="525866"/>
          <w:sz w:val="22"/>
        </w:rPr>
        <w:t>→ Validates MSCI's thesis that AI access drives incremental content licensing and subscription expansion.</w:t>
      </w:r>
    </w:p>
    <w:p>
      <w:pPr>
        <w:pStyle w:val="ListBullet"/>
        <w:ind w:left="360" w:hanging="360"/>
      </w:pPr>
      <w:r>
        <w:rPr>
          <w:rFonts w:ascii="Calibri" w:hAnsi="Calibri"/>
          <w:b/>
          <w:color w:val="525866"/>
          <w:sz w:val="22"/>
        </w:rPr>
        <w:t>Private Markets Data:</w:t>
      </w:r>
      <w:r>
        <w:rPr>
          <w:rFonts w:ascii="Calibri" w:hAnsi="Calibri"/>
          <w:color w:val="525866"/>
          <w:sz w:val="22"/>
        </w:rPr>
        <w:t xml:space="preserve"> "Private market data sets are some of the fastest growing SKUs" in FDS's data delivery business. </w:t>
      </w:r>
      <w:r>
        <w:rPr>
          <w:rFonts w:ascii="Calibri" w:hAnsi="Calibri"/>
          <w:b/>
          <w:color w:val="525866"/>
          <w:sz w:val="22"/>
        </w:rPr>
        <w:t>→ Confirms strong industry demand for private market data — directly relevant to MSCI's PCS segment.</w:t>
      </w:r>
    </w:p>
    <w:p>
      <w:pPr>
        <w:pStyle w:val="ListBullet"/>
        <w:ind w:left="360" w:hanging="360"/>
      </w:pPr>
      <w:r>
        <w:rPr>
          <w:rFonts w:ascii="Calibri" w:hAnsi="Calibri"/>
          <w:b/>
          <w:color w:val="525866"/>
          <w:sz w:val="22"/>
        </w:rPr>
        <w:t>Guidance Reaffirmed:</w:t>
      </w:r>
      <w:r>
        <w:rPr>
          <w:rFonts w:ascii="Calibri" w:hAnsi="Calibri"/>
          <w:color w:val="525866"/>
          <w:sz w:val="22"/>
        </w:rPr>
        <w:t xml:space="preserve"> FDS reaffirmed FY guidance and stated EPS is "tracking toward the high end of those ranges." Operating margin guidance maintained at midpoint. </w:t>
      </w:r>
      <w:r>
        <w:rPr>
          <w:rFonts w:ascii="Calibri" w:hAnsi="Calibri"/>
          <w:b/>
          <w:color w:val="525866"/>
          <w:sz w:val="22"/>
        </w:rPr>
        <w:t>→ Peer guidance reaffirmation in a similar business model reduces the risk of a negative surprise from MSCI's expense guidance.</w:t>
      </w:r>
    </w:p>
    <w:p>
      <w:r>
        <w:rPr>
          <w:rFonts w:ascii="Calibri" w:hAnsi="Calibri"/>
          <w:b/>
          <w:color w:val="525866"/>
          <w:sz w:val="22"/>
        </w:rPr>
        <w:t>Limitation:</w:t>
      </w:r>
      <w:r>
        <w:rPr>
          <w:rFonts w:ascii="Calibri" w:hAnsi="Calibri"/>
          <w:i/>
          <w:color w:val="525866"/>
          <w:sz w:val="22"/>
        </w:rPr>
        <w:t xml:space="preserve"> FactSet's Q4 FY2026 covers June–August 2026, so the commentary is about a period that partially overlaps with MSCI's Q2 (April–June) and partially extends beyond it. FDS's client base is more concentrated in investment banking/sell-side workflows, while MSCI's is more buy-side/asset manager focused. The "tough compare" FDS faces (Q4 last year was their largest quarter ever) is specific to FDS and does not apply to MSCI. Source: FactSet Q3 FY2026 Earnings Call Transcript, July 1, 2026.</w:t>
      </w:r>
    </w:p>
    <w:p>
      <w:pPr>
        <w:pStyle w:val="Heading3"/>
      </w:pPr>
      <w:r>
        <w:rPr>
          <w:rFonts w:ascii="Calibri" w:hAnsi="Calibri"/>
          <w:b/>
          <w:color w:val="3B4259"/>
          <w:sz w:val="24"/>
        </w:rPr>
        <w:t>8.6 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Most Relevant MSCI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SPGI (Bernstein)</w:t>
            </w:r>
          </w:p>
        </w:tc>
        <w:tc>
          <w:tcPr>
            <w:tcW w:type="dxa" w:w="2160"/>
          </w:tcPr>
          <w:p>
            <w:r>
              <w:rPr>
                <w:rFonts w:ascii="Calibri" w:hAnsi="Calibri"/>
                <w:sz w:val="22"/>
              </w:rPr>
              <w:t>May 27</w:t>
            </w:r>
          </w:p>
        </w:tc>
        <w:tc>
          <w:tcPr>
            <w:tcW w:type="dxa" w:w="2160"/>
          </w:tcPr>
          <w:p>
            <w:r>
              <w:rPr>
                <w:rFonts w:ascii="Calibri" w:hAnsi="Calibri"/>
                <w:sz w:val="22"/>
              </w:rPr>
              <w:t>Index ABF tailwind; AI data 35–45% renewal uplifts; private credit demand; vendor consolidation</w:t>
            </w:r>
          </w:p>
        </w:tc>
        <w:tc>
          <w:tcPr>
            <w:tcW w:type="dxa" w:w="2160"/>
          </w:tcPr>
          <w:p>
            <w:r>
              <w:rPr>
                <w:rFonts w:ascii="Calibri" w:hAnsi="Calibri"/>
                <w:b/>
                <w:color w:val="30A46C"/>
                <w:sz w:val="22"/>
              </w:rPr>
              <w:t>Positive</w:t>
            </w:r>
          </w:p>
        </w:tc>
      </w:tr>
      <w:tr>
        <w:tc>
          <w:tcPr>
            <w:tcW w:type="dxa" w:w="2160"/>
          </w:tcPr>
          <w:p>
            <w:r>
              <w:rPr>
                <w:rFonts w:ascii="Calibri" w:hAnsi="Calibri"/>
                <w:sz w:val="22"/>
              </w:rPr>
              <w:t>SPGI (Mizuho)</w:t>
            </w:r>
          </w:p>
        </w:tc>
        <w:tc>
          <w:tcPr>
            <w:tcW w:type="dxa" w:w="2160"/>
          </w:tcPr>
          <w:p>
            <w:r>
              <w:rPr>
                <w:rFonts w:ascii="Calibri" w:hAnsi="Calibri"/>
                <w:sz w:val="22"/>
              </w:rPr>
              <w:t>Jun 10</w:t>
            </w:r>
          </w:p>
        </w:tc>
        <w:tc>
          <w:tcPr>
            <w:tcW w:type="dxa" w:w="2160"/>
          </w:tcPr>
          <w:p>
            <w:r>
              <w:rPr>
                <w:rFonts w:ascii="Calibri" w:hAnsi="Calibri"/>
                <w:sz w:val="22"/>
              </w:rPr>
              <w:t>500% QoQ API call growth via MCP; AI customers growing 30% faster; ABF up 17% in Q1</w:t>
            </w:r>
          </w:p>
        </w:tc>
        <w:tc>
          <w:tcPr>
            <w:tcW w:type="dxa" w:w="2160"/>
          </w:tcPr>
          <w:p>
            <w:r>
              <w:rPr>
                <w:rFonts w:ascii="Calibri" w:hAnsi="Calibri"/>
                <w:b/>
                <w:color w:val="30A46C"/>
                <w:sz w:val="22"/>
              </w:rPr>
              <w:t>Positive</w:t>
            </w:r>
          </w:p>
        </w:tc>
      </w:tr>
      <w:tr>
        <w:tc>
          <w:tcPr>
            <w:tcW w:type="dxa" w:w="2160"/>
          </w:tcPr>
          <w:p>
            <w:r>
              <w:rPr>
                <w:rFonts w:ascii="Calibri" w:hAnsi="Calibri"/>
                <w:sz w:val="22"/>
              </w:rPr>
              <w:t>MCO (Bernstein)</w:t>
            </w:r>
          </w:p>
        </w:tc>
        <w:tc>
          <w:tcPr>
            <w:tcW w:type="dxa" w:w="2160"/>
          </w:tcPr>
          <w:p>
            <w:r>
              <w:rPr>
                <w:rFonts w:ascii="Calibri" w:hAnsi="Calibri"/>
                <w:sz w:val="22"/>
              </w:rPr>
              <w:t>May 28</w:t>
            </w:r>
          </w:p>
        </w:tc>
        <w:tc>
          <w:tcPr>
            <w:tcW w:type="dxa" w:w="2160"/>
          </w:tcPr>
          <w:p>
            <w:r>
              <w:rPr>
                <w:rFonts w:ascii="Calibri" w:hAnsi="Calibri"/>
                <w:sz w:val="22"/>
              </w:rPr>
              <w:t>AI integration pipeline building rapidly; private credit +80% YoY; constructive capital markets; M&amp;A pickup</w:t>
            </w:r>
          </w:p>
        </w:tc>
        <w:tc>
          <w:tcPr>
            <w:tcW w:type="dxa" w:w="2160"/>
          </w:tcPr>
          <w:p>
            <w:r>
              <w:rPr>
                <w:rFonts w:ascii="Calibri" w:hAnsi="Calibri"/>
                <w:b/>
                <w:color w:val="30A46C"/>
                <w:sz w:val="22"/>
              </w:rPr>
              <w:t>Positive</w:t>
            </w:r>
          </w:p>
        </w:tc>
      </w:tr>
      <w:tr>
        <w:tc>
          <w:tcPr>
            <w:tcW w:type="dxa" w:w="2160"/>
          </w:tcPr>
          <w:p>
            <w:r>
              <w:rPr>
                <w:rFonts w:ascii="Calibri" w:hAnsi="Calibri"/>
                <w:sz w:val="22"/>
              </w:rPr>
              <w:t>NDAQ (Morgan Stanley)</w:t>
            </w:r>
          </w:p>
        </w:tc>
        <w:tc>
          <w:tcPr>
            <w:tcW w:type="dxa" w:w="2160"/>
          </w:tcPr>
          <w:p>
            <w:r>
              <w:rPr>
                <w:rFonts w:ascii="Calibri" w:hAnsi="Calibri"/>
                <w:sz w:val="22"/>
              </w:rPr>
              <w:t>Jun 9</w:t>
            </w:r>
          </w:p>
        </w:tc>
        <w:tc>
          <w:tcPr>
            <w:tcW w:type="dxa" w:w="2160"/>
          </w:tcPr>
          <w:p>
            <w:r>
              <w:rPr>
                <w:rFonts w:ascii="Calibri" w:hAnsi="Calibri"/>
                <w:sz w:val="22"/>
              </w:rPr>
              <w:t>Q2 macro: strong earnings, retail engagement, AI tailwind; index options +60% YoY; CAP double-digit growth</w:t>
            </w:r>
          </w:p>
        </w:tc>
        <w:tc>
          <w:tcPr>
            <w:tcW w:type="dxa" w:w="2160"/>
          </w:tcPr>
          <w:p>
            <w:r>
              <w:rPr>
                <w:rFonts w:ascii="Calibri" w:hAnsi="Calibri"/>
                <w:b/>
                <w:color w:val="30A46C"/>
                <w:sz w:val="22"/>
              </w:rPr>
              <w:t>Positive</w:t>
            </w:r>
          </w:p>
        </w:tc>
      </w:tr>
      <w:tr>
        <w:tc>
          <w:tcPr>
            <w:tcW w:type="dxa" w:w="2160"/>
          </w:tcPr>
          <w:p>
            <w:r>
              <w:rPr>
                <w:rFonts w:ascii="Calibri" w:hAnsi="Calibri"/>
                <w:sz w:val="22"/>
              </w:rPr>
              <w:t>FDS (Q3 Earnings)</w:t>
            </w:r>
          </w:p>
        </w:tc>
        <w:tc>
          <w:tcPr>
            <w:tcW w:type="dxa" w:w="2160"/>
          </w:tcPr>
          <w:p>
            <w:r>
              <w:rPr>
                <w:rFonts w:ascii="Calibri" w:hAnsi="Calibri"/>
                <w:sz w:val="22"/>
              </w:rPr>
              <w:t>Jul 1</w:t>
            </w:r>
          </w:p>
        </w:tc>
        <w:tc>
          <w:tcPr>
            <w:tcW w:type="dxa" w:w="2160"/>
          </w:tcPr>
          <w:p>
            <w:r>
              <w:rPr>
                <w:rFonts w:ascii="Calibri" w:hAnsi="Calibri"/>
                <w:sz w:val="22"/>
              </w:rPr>
              <w:t>Broad-based pipeline momentum; AI multiplier effect on existing products; private market data fastest-growing SKU; guidance tracking high end</w:t>
            </w:r>
          </w:p>
        </w:tc>
        <w:tc>
          <w:tcPr>
            <w:tcW w:type="dxa" w:w="2160"/>
          </w:tcPr>
          <w:p>
            <w:r>
              <w:rPr>
                <w:rFonts w:ascii="Calibri" w:hAnsi="Calibri"/>
                <w:b/>
                <w:color w:val="30A46C"/>
                <w:sz w:val="22"/>
              </w:rPr>
              <w:t>Positive</w:t>
            </w:r>
          </w:p>
        </w:tc>
      </w:tr>
    </w:tbl>
    <w:p>
      <w:r>
        <w:rPr>
          <w:rFonts w:ascii="Calibri" w:hAnsi="Calibri"/>
          <w:b/>
          <w:color w:val="525866"/>
          <w:sz w:val="22"/>
        </w:rPr>
        <w:t>Overall Peer Read-Through Assessment:</w:t>
      </w:r>
      <w:r>
        <w:rPr>
          <w:rFonts w:ascii="Calibri" w:hAnsi="Calibri"/>
          <w:color w:val="525866"/>
          <w:sz w:val="22"/>
        </w:rPr>
        <w:t xml:space="preserve"> All five peer commentaries from the May 21–July 20, 2026 window point in the same direction — constructive capital markets, accelerating AI data demand, robust index/passive product flows, and strong private market data appetite. The consistency of the signal across SPGI, MCO, NDAQ, and FDS reduces the risk of a macro-driven miss for MSCI in Q2. The most actionable read-through is FactSet's July 1 confirmation that demand momentum "has continued" into the current quarter with bookings ahead of last year — the closest temporal read-through to MSCI's Q2 reporting period.</w:t>
      </w:r>
    </w:p>
    <w:p>
      <w:r>
        <w:rPr>
          <w:rFonts w:ascii="Calibri" w:hAnsi="Calibri"/>
          <w:b/>
          <w:color w:val="525866"/>
          <w:sz w:val="22"/>
        </w:rPr>
        <w:t>Disclaimer:</w:t>
      </w:r>
      <w:r>
        <w:rPr>
          <w:rFonts w:ascii="Calibri" w:hAnsi="Calibri"/>
          <w:i/>
          <w:color w:val="525866"/>
          <w:sz w:val="22"/>
        </w:rPr>
        <w:t xml:space="preserve"> This document is prepared for informational purposes only. All consensus estimates are sourced from Visible Alpha and reflect data as of July 20, 2026. Insider transaction data sourced from SEC Form 4 filings. Stock price data sourced from Yahoo Finance. Peer commentary sourced from publicly available conference transcripts and earnings call transcripts. Past beat/miss history is not indicative of future results.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