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ARR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  <w:r>
              <w:t xml:space="preserve">3.25B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expense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2.485</m:t>
              </m:r>
              <m:r>
                <m:rPr>
                  <m:sty m:val="p"/>
                </m:rPr>
                <m:t>−</m:t>
              </m:r>
              <m:r>
                <m:t>2.545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Financial Technology / Solutions ARR growth (medium-term framework)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~16-18% FinTech ARR vs. cons ~15% (2H26/FY26)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Index/ETP AUM flows post BlackRock+State Street Nasdaq-100 launch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index rev ~</w:t>
            </w:r>
            <m:oMath>
              <m:r>
                <m:t>240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22</m:t>
              </m:r>
            </m:oMath>
            <w:r>
              <w:t xml:space="preserve">225M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June market volatility likely boosted Market Services volumes, supporting a modest revenue/EPS beat on a de-rated, beaten-down stock (still -6% YTD despite a sharp recovery off the $76.85 June low). Day-1 pop should hold rather than run: the out-period math is mixed — management pre-flagged a Q2 expense step-up (comp-cycle timing) and a tough Market Services comp (+22% in Q2'25), plus lumpy Q1 one-time items that don't repeat, which caps upward revisions. Durable ARR (+12%) and reassuring index-flow commentary keep estimates roughly stable, so the reaction stabilizes rather than fades or compounds.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2026-07-23T00:14:56Z</dcterms:created>
  <dcterms:modified xsi:type="dcterms:W3CDTF">2026-07-23T00:14:56Z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