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daq-earnings-predictions--2026-07-23"/>
    <w:p>
      <w:pPr>
        <w:pStyle w:val="Heading1"/>
      </w:pPr>
      <w:r>
        <w:t xml:space="preserve">NDAQ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~$0.97 vs. cons $0.95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~$1.45B vs. cons $1.42B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Financial Technology ARR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~15% vs. cons 15%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expense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~$2.515B midpoint vs. cons $2.515B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Financial Technology ARR 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~16% exit growth vs. cons 15%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+1.4% (FADE)</w:t>
            </w:r>
          </w:p>
        </w:tc>
        <w:tc>
          <w:tcPr/>
          <w:p>
            <w:pPr>
              <w:pStyle w:val="Compact"/>
            </w:pPr>
            <w:r>
              <w:t xml:space="preserve">Day-5 residual ~+1.4% vs. day-1 ~+2.4%: strong Index and trading activity should produce a modest headline beat, but normalized Financial Technology revenue, unchanged expense guidance and limited out-period EPS revisions should partially fade the initial 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2026-07-23T00:15:57Z</dcterms:created>
  <dcterms:modified xsi:type="dcterms:W3CDTF">2026-07-23T00:15:57Z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