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ndaq-q2-2026-earnings-preview"/>
    <w:p>
      <w:pPr>
        <w:pStyle w:val="Heading1"/>
      </w:pPr>
      <w:r>
        <w:t xml:space="preserve">NDAQ Q2 2026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Nasdaq scheduled its Q2 results for</w:t>
      </w:r>
      <w:r>
        <w:t xml:space="preserve"> </w:t>
      </w:r>
      <w:r>
        <w:rPr>
          <w:b/>
          <w:bCs/>
        </w:rPr>
        <w:t xml:space="preserve">Thursday, July 23, 2026</w:t>
      </w:r>
      <w:r>
        <w:t xml:space="preserve">, with the release at approximately</w:t>
      </w:r>
      <w:r>
        <w:t xml:space="preserve"> </w:t>
      </w:r>
      <w:r>
        <w:rPr>
          <w:b/>
          <w:bCs/>
        </w:rPr>
        <w:t xml:space="preserve">7:00 a.m. ET</w:t>
      </w:r>
      <w:r>
        <w:t xml:space="preserve"> </w:t>
      </w:r>
      <w:r>
        <w:t xml:space="preserve">and the call at</w:t>
      </w:r>
      <w:r>
        <w:t xml:space="preserve"> </w:t>
      </w:r>
      <w:r>
        <w:rPr>
          <w:b/>
          <w:bCs/>
        </w:rPr>
        <w:t xml:space="preserve">8:00 a.m. ET</w:t>
      </w:r>
      <w:r>
        <w:t xml:space="preserve">. Since today is July 23, this is a same-day preview—not an earnings report due tomorrow. (</w:t>
      </w:r>
      <w:hyperlink r:id="rId9">
        <w:r>
          <w:rPr>
            <w:rStyle w:val="Hyperlink"/>
          </w:rPr>
          <w:t xml:space="preserve">nasdaq.com</w:t>
        </w:r>
      </w:hyperlink>
      <w:r>
        <w:t xml:space="preserve">)</w:t>
      </w:r>
    </w:p>
    <w:bookmarkStart w:id="10" w:name="investment-view-going-into-the-report"/>
    <w:p>
      <w:pPr>
        <w:pStyle w:val="Heading2"/>
      </w:pPr>
      <w:r>
        <w:t xml:space="preserve">Investment view going into the report</w:t>
      </w:r>
    </w:p>
    <w:p>
      <w:pPr>
        <w:pStyle w:val="FirstParagraph"/>
      </w:pPr>
      <w:r>
        <w:t xml:space="preserve">Nasdaq enters Q2 with unusually strong fundamental momentum but a more demanding comparison after an exceptional first quarter. The setup is favorable in</w:t>
      </w:r>
      <w:r>
        <w:t xml:space="preserve"> </w:t>
      </w:r>
      <w:r>
        <w:rPr>
          <w:b/>
          <w:bCs/>
        </w:rPr>
        <w:t xml:space="preserve">Index, market data, trading, and Financial Technology bookings</w:t>
      </w:r>
      <w:r>
        <w:t xml:space="preserve">, while the main questions are:</w:t>
      </w:r>
    </w:p>
    <w:p>
      <w:pPr>
        <w:pStyle w:val="Compact"/>
        <w:numPr>
          <w:ilvl w:val="0"/>
          <w:numId w:val="1001"/>
        </w:numPr>
      </w:pPr>
      <w:r>
        <w:t xml:space="preserve">How much of the strong market backdrop converted into revenue?</w:t>
      </w:r>
    </w:p>
    <w:p>
      <w:pPr>
        <w:pStyle w:val="Compact"/>
        <w:numPr>
          <w:ilvl w:val="0"/>
          <w:numId w:val="1001"/>
        </w:numPr>
      </w:pPr>
      <w:r>
        <w:t xml:space="preserve">Can Financial Technology sustain double-digit recurring growth after Q1 benefited from several nonrecurring items?</w:t>
      </w:r>
    </w:p>
    <w:p>
      <w:pPr>
        <w:pStyle w:val="Compact"/>
        <w:numPr>
          <w:ilvl w:val="0"/>
          <w:numId w:val="1001"/>
        </w:numPr>
      </w:pPr>
      <w:r>
        <w:t xml:space="preserve">Will elevated investment and compensation costs limit operating leverage?</w:t>
      </w:r>
    </w:p>
    <w:p>
      <w:pPr>
        <w:pStyle w:val="Compact"/>
        <w:numPr>
          <w:ilvl w:val="0"/>
          <w:numId w:val="1001"/>
        </w:numPr>
      </w:pPr>
      <w:r>
        <w:t xml:space="preserve">Does management sound more confident—or more cautious—about the second half?</w:t>
      </w:r>
    </w:p>
    <w:p>
      <w:pPr>
        <w:pStyle w:val="FirstParagraph"/>
      </w:pPr>
      <w:r>
        <w:t xml:space="preserve">The headline earnings hurdle appears achievable. The stock’s reaction, however, will probably depend more on</w:t>
      </w:r>
      <w:r>
        <w:t xml:space="preserve"> </w:t>
      </w:r>
      <w:r>
        <w:rPr>
          <w:b/>
          <w:bCs/>
        </w:rPr>
        <w:t xml:space="preserve">ARR, organic Solutions growth, Financial Technology bookings, margins, and expense guidance</w:t>
      </w:r>
      <w:r>
        <w:t xml:space="preserve"> </w:t>
      </w:r>
      <w:r>
        <w:t xml:space="preserve">than on a modest EPS beat.</w:t>
      </w:r>
    </w:p>
    <w:p>
      <w:r>
        <w:pict>
          <v:rect style="width:0;height:1.5pt" o:hralign="center" o:hrstd="t" o:hr="t"/>
        </w:pict>
      </w:r>
    </w:p>
    <w:bookmarkEnd w:id="10"/>
    <w:bookmarkStart w:id="12" w:name="consensus-snapshot"/>
    <w:p>
      <w:pPr>
        <w:pStyle w:val="Heading2"/>
      </w:pPr>
      <w:r>
        <w:t xml:space="preserve">Consensus snapshot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 consensus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Implied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$0.95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$0.85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~12%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~$1.42 billion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$1.31 billion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~9%</w:t>
            </w:r>
          </w:p>
        </w:tc>
      </w:tr>
    </w:tbl>
    <w:p>
      <w:pPr>
        <w:pStyle w:val="BodyText"/>
      </w:pPr>
      <w:r>
        <w:t xml:space="preserve">Nasdaq’s investor-relations page shows a</w:t>
      </w:r>
      <w:r>
        <w:t xml:space="preserve"> </w:t>
      </w:r>
      <m:oMath>
        <m:r>
          <m:t>0.95</m:t>
        </m:r>
        <m:r>
          <m:t>L</m:t>
        </m:r>
        <m:r>
          <m:t>S</m:t>
        </m:r>
        <m:r>
          <m:t>E</m:t>
        </m:r>
        <m:r>
          <m:t>G</m:t>
        </m:r>
        <m:r>
          <m:t>m</m:t>
        </m:r>
        <m:r>
          <m:t>e</m:t>
        </m:r>
        <m:r>
          <m:t>a</m:t>
        </m:r>
        <m:r>
          <m:t>n</m:t>
        </m:r>
        <m:r>
          <m:t>E</m:t>
        </m:r>
        <m:r>
          <m:t>P</m:t>
        </m:r>
        <m:r>
          <m:t>S</m:t>
        </m:r>
        <m:r>
          <m:t>e</m:t>
        </m:r>
        <m:r>
          <m:t>s</m:t>
        </m:r>
        <m:r>
          <m:t>t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b</m:t>
        </m:r>
        <m:r>
          <m:t>a</m:t>
        </m:r>
        <m:r>
          <m:t>s</m:t>
        </m:r>
        <m:r>
          <m:t>e</m:t>
        </m:r>
        <m:r>
          <m:t>d</m:t>
        </m:r>
        <m:r>
          <m:t>o</m:t>
        </m:r>
        <m:r>
          <m:t>n</m:t>
        </m:r>
        <m:r>
          <m:t>15</m:t>
        </m:r>
        <m:r>
          <m:t>e</m:t>
        </m:r>
        <m:r>
          <m:t>s</m:t>
        </m:r>
        <m:r>
          <m:t>t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s</m:t>
        </m:r>
        <m:r>
          <m:rPr>
            <m:sty m:val="p"/>
          </m:rPr>
          <m:t>,</m:t>
        </m:r>
        <m:r>
          <m:t>w</m:t>
        </m:r>
        <m:r>
          <m:t>h</m:t>
        </m:r>
        <m:r>
          <m:t>i</m:t>
        </m:r>
        <m:r>
          <m:t>l</m:t>
        </m:r>
        <m:r>
          <m:t>e</m:t>
        </m:r>
        <m:r>
          <m:t>a</m:t>
        </m:r>
        <m:r>
          <m:t>s</m:t>
        </m:r>
        <m:r>
          <m:t>e</m:t>
        </m:r>
        <m:r>
          <m:t>p</m:t>
        </m:r>
        <m:r>
          <m:t>a</m:t>
        </m:r>
        <m:r>
          <m:t>r</m:t>
        </m:r>
        <m:r>
          <m:t>a</m:t>
        </m:r>
        <m:r>
          <m:t>t</m:t>
        </m:r>
        <m:r>
          <m:t>e</m:t>
        </m:r>
        <m:r>
          <m:t>e</m:t>
        </m:r>
        <m:r>
          <m:t>a</m:t>
        </m:r>
        <m:r>
          <m:t>r</m:t>
        </m:r>
        <m:r>
          <m:t>n</m:t>
        </m:r>
        <m:r>
          <m:t>i</m:t>
        </m:r>
        <m:r>
          <m:t>n</m:t>
        </m:r>
        <m:r>
          <m:t>g</m:t>
        </m:r>
        <m:r>
          <m:t>s</m:t>
        </m:r>
        <m:r>
          <m:rPr>
            <m:sty m:val="p"/>
          </m:rPr>
          <m:t>−</m:t>
        </m:r>
        <m:r>
          <m:t>c</m:t>
        </m:r>
        <m:r>
          <m:t>o</m:t>
        </m:r>
        <m:r>
          <m:t>n</m:t>
        </m:r>
        <m:r>
          <m:t>s</m:t>
        </m:r>
        <m:r>
          <m:t>e</m:t>
        </m:r>
        <m:r>
          <m:t>n</m:t>
        </m:r>
        <m:r>
          <m:t>s</m:t>
        </m:r>
        <m:r>
          <m:t>u</m:t>
        </m:r>
        <m:r>
          <m:t>s</m:t>
        </m:r>
        <m:r>
          <m:t>s</m:t>
        </m:r>
        <m:r>
          <m:t>o</m:t>
        </m:r>
        <m:r>
          <m:t>u</m:t>
        </m:r>
        <m:r>
          <m:t>r</m:t>
        </m:r>
        <m:r>
          <m:t>c</m:t>
        </m:r>
        <m:r>
          <m:t>e</m:t>
        </m:r>
        <m:r>
          <m:t>p</m:t>
        </m:r>
        <m:r>
          <m:t>l</m:t>
        </m:r>
        <m:r>
          <m:t>a</m:t>
        </m:r>
        <m:r>
          <m:t>c</m:t>
        </m:r>
        <m:r>
          <m:t>e</m:t>
        </m:r>
        <m:r>
          <m:t>s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t>l</m:t>
        </m:r>
        <m:r>
          <m:t>y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t>n</m:t>
        </m:r>
        <m:r>
          <m:t>e</m:t>
        </m:r>
        <m:r>
          <m:t>a</m:t>
        </m:r>
        <m:r>
          <m:t>r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1.42 billion</w:t>
      </w:r>
      <w:r>
        <w:t xml:space="preserve">. (</w:t>
      </w:r>
      <w:hyperlink r:id="rId11">
        <w:r>
          <w:rPr>
            <w:rStyle w:val="Hyperlink"/>
          </w:rPr>
          <w:t xml:space="preserve">ir.nasdaq.com</w:t>
        </w:r>
      </w:hyperlink>
      <w:r>
        <w:t xml:space="preserve">)</w:t>
      </w:r>
    </w:p>
    <w:p>
      <w:pPr>
        <w:pStyle w:val="BodyText"/>
      </w:pPr>
      <w:r>
        <w:t xml:space="preserve">Nasdaq earned adjusted EPS of</w:t>
      </w:r>
      <w:r>
        <w:t xml:space="preserve"> </w:t>
      </w:r>
      <w:r>
        <w:rPr>
          <w:b/>
          <w:bCs/>
        </w:rPr>
        <w:t xml:space="preserve">$0.96 in Q1</w:t>
      </w:r>
      <w:r>
        <w:t xml:space="preserve">, so consensus implies a slight sequential decline despite modestly higher expected revenue. That reflects management’s warning that Q2 expense growth would be higher due partly to the annual compensation cycle.</w:t>
      </w:r>
    </w:p>
    <w:p>
      <w:r>
        <w:pict>
          <v:rect style="width:0;height:1.5pt" o:hralign="center" o:hrstd="t" o:hr="t"/>
        </w:pict>
      </w:r>
    </w:p>
    <w:bookmarkEnd w:id="12"/>
    <w:bookmarkStart w:id="14" w:name="the-strongest-visible-tailwind-index"/>
    <w:p>
      <w:pPr>
        <w:pStyle w:val="Heading2"/>
      </w:pPr>
      <w:r>
        <w:t xml:space="preserve">The strongest visible tailwind: Index</w:t>
      </w:r>
    </w:p>
    <w:p>
      <w:pPr>
        <w:pStyle w:val="FirstParagraph"/>
      </w:pPr>
      <w:r>
        <w:t xml:space="preserve">Index should be the quarter’s clearest source of upside.</w:t>
      </w:r>
    </w:p>
    <w:p>
      <w:pPr>
        <w:pStyle w:val="BodyText"/>
      </w:pPr>
      <w:r>
        <w:t xml:space="preserve">Nasdaq disclosed: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Average index ETP AUM of $1.014 trillion</w:t>
      </w:r>
      <w:r>
        <w:t xml:space="preserve">, up approximately</w:t>
      </w:r>
      <w:r>
        <w:t xml:space="preserve"> </w:t>
      </w:r>
      <w:r>
        <w:rPr>
          <w:b/>
          <w:bCs/>
        </w:rPr>
        <w:t xml:space="preserve">53% year over year</w:t>
      </w:r>
    </w:p>
    <w:p>
      <w:pPr>
        <w:pStyle w:val="Compact"/>
        <w:numPr>
          <w:ilvl w:val="0"/>
          <w:numId w:val="1002"/>
        </w:numPr>
      </w:pPr>
      <w:r>
        <w:t xml:space="preserve">Quarter-end ETP AUM of</w:t>
      </w:r>
      <w:r>
        <w:t xml:space="preserve"> </w:t>
      </w:r>
      <w:r>
        <w:rPr>
          <w:b/>
          <w:bCs/>
        </w:rPr>
        <w:t xml:space="preserve">$1.114 trillion</w:t>
      </w:r>
      <w:r>
        <w:t xml:space="preserve">, up approximately</w:t>
      </w:r>
      <w:r>
        <w:t xml:space="preserve"> </w:t>
      </w:r>
      <w:r>
        <w:rPr>
          <w:b/>
          <w:bCs/>
        </w:rPr>
        <w:t xml:space="preserve">50%</w:t>
      </w:r>
    </w:p>
    <w:p>
      <w:pPr>
        <w:pStyle w:val="Compact"/>
        <w:numPr>
          <w:ilvl w:val="0"/>
          <w:numId w:val="1002"/>
        </w:numPr>
      </w:pPr>
      <w:r>
        <w:t xml:space="preserve">Index futures and options volume of</w:t>
      </w:r>
      <w:r>
        <w:t xml:space="preserve"> </w:t>
      </w:r>
      <w:r>
        <w:rPr>
          <w:b/>
          <w:bCs/>
        </w:rPr>
        <w:t xml:space="preserve">198.7 million contracts</w:t>
      </w:r>
      <w:r>
        <w:t xml:space="preserve">, up approximately</w:t>
      </w:r>
      <w:r>
        <w:t xml:space="preserve"> </w:t>
      </w:r>
      <w:r>
        <w:rPr>
          <w:b/>
          <w:bCs/>
        </w:rPr>
        <w:t xml:space="preserve">33%</w:t>
      </w:r>
    </w:p>
    <w:p>
      <w:pPr>
        <w:pStyle w:val="Compact"/>
        <w:numPr>
          <w:ilvl w:val="0"/>
          <w:numId w:val="1002"/>
        </w:numPr>
      </w:pPr>
      <w:r>
        <w:t xml:space="preserve">A substantial step-up from Q1 average AUM of $877 billion</w:t>
      </w:r>
    </w:p>
    <w:p>
      <w:pPr>
        <w:pStyle w:val="FirstParagraph"/>
      </w:pPr>
      <w:r>
        <w:t xml:space="preserve">The quarter-end figure is also the first time Nasdaq’s index-linked ETP AUM has exceeded $1 trillion. (</w:t>
      </w:r>
      <w:hyperlink r:id="rId13">
        <w:r>
          <w:rPr>
            <w:rStyle w:val="Hyperlink"/>
          </w:rPr>
          <w:t xml:space="preserve">ir.nasdaq.com</w:t>
        </w:r>
      </w:hyperlink>
      <w:r>
        <w:t xml:space="preserve">)</w:t>
      </w:r>
    </w:p>
    <w:p>
      <w:pPr>
        <w:pStyle w:val="BodyText"/>
      </w:pPr>
      <w:r>
        <w:t xml:space="preserve">Two caveats matter:</w:t>
      </w:r>
    </w:p>
    <w:p>
      <w:pPr>
        <w:pStyle w:val="Compact"/>
        <w:numPr>
          <w:ilvl w:val="0"/>
          <w:numId w:val="1003"/>
        </w:numPr>
      </w:pPr>
      <w:r>
        <w:t xml:space="preserve">Index revenue does not move one-for-one with AUM because product and customer mix affect fee capture.</w:t>
      </w:r>
    </w:p>
    <w:p>
      <w:pPr>
        <w:pStyle w:val="Compact"/>
        <w:numPr>
          <w:ilvl w:val="0"/>
          <w:numId w:val="1003"/>
        </w:numPr>
      </w:pPr>
      <w:r>
        <w:t xml:space="preserve">Futures activity has continued shifting from higher-priced E-mini contracts toward lower-priced micro contracts.</w:t>
      </w:r>
    </w:p>
    <w:p>
      <w:pPr>
        <w:pStyle w:val="FirstParagraph"/>
      </w:pPr>
      <w:r>
        <w:t xml:space="preserve">Even so, the magnitude of the AUM increase should make Index a major contributor to Capital Access Platforms growth. Commentary around the new Nasdaq-100 relationships with BlackRock and State Street—and whether they are broadening institutional and retail distribution—will also be important.</w:t>
      </w:r>
    </w:p>
    <w:p>
      <w:pPr>
        <w:pStyle w:val="BodyText"/>
      </w:pPr>
      <w:r>
        <w:rPr>
          <w:b/>
          <w:bCs/>
        </w:rPr>
        <w:t xml:space="preserve">What would be bullish:</w:t>
      </w:r>
      <w:r>
        <w:t xml:space="preserve"> </w:t>
      </w:r>
      <w:r>
        <w:t xml:space="preserve">Index revenue growth well above the division’s medium-term range, sustained inflows, and evidence that new distribution is additive rather than merely shifting assets between products.</w:t>
      </w:r>
    </w:p>
    <w:p>
      <w:r>
        <w:pict>
          <v:rect style="width:0;height:1.5pt" o:hralign="center" o:hrstd="t" o:hr="t"/>
        </w:pict>
      </w:r>
    </w:p>
    <w:bookmarkEnd w:id="14"/>
    <w:bookmarkStart w:id="15" w:name="Xd7851d853f0838dfe7bfb12198e540ee43eecbc"/>
    <w:p>
      <w:pPr>
        <w:pStyle w:val="Heading2"/>
      </w:pPr>
      <w:r>
        <w:t xml:space="preserve">Market Services: strong activity, mixed monetization</w:t>
      </w:r>
    </w:p>
    <w:p>
      <w:pPr>
        <w:pStyle w:val="FirstParagraph"/>
      </w:pPr>
      <w:r>
        <w:t xml:space="preserve">Nasdaq’s published Q2 volume statistics point to another strong quarter for transaction activity: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Market 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YoY change</w:t>
            </w:r>
          </w:p>
        </w:tc>
        <w:tc>
          <w:tcPr/>
          <w:p>
            <w:pPr>
              <w:pStyle w:val="Compact"/>
            </w:pPr>
            <w:r>
              <w:t xml:space="preserve">Key qualification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U.S. equity-options contracts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1.20 billion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+25%</w:t>
            </w:r>
          </w:p>
        </w:tc>
        <w:tc>
          <w:tcPr/>
          <w:p>
            <w:pPr>
              <w:pStyle w:val="Compact"/>
            </w:pPr>
            <w:r>
              <w:t xml:space="preserve">Market share fell 30 bps; capture stayed at $0.10 versus $0.12 last year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U.S. matched equity shares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184.5 billion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+17%</w:t>
            </w:r>
          </w:p>
        </w:tc>
        <w:tc>
          <w:tcPr/>
          <w:p>
            <w:pPr>
              <w:pStyle w:val="Compact"/>
            </w:pPr>
            <w:r>
              <w:t xml:space="preserve">Capture improved to $0.69 per 1,000 shares from $0.66</w:t>
            </w:r>
          </w:p>
        </w:tc>
      </w:tr>
      <w:tr>
        <w:tc>
          <w:tcPr/>
          <w:p>
            <w:pPr>
              <w:pStyle w:val="Compact"/>
            </w:pPr>
            <w:r>
              <w:t xml:space="preserve">European equity value traded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$277 billion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+14%</w:t>
            </w:r>
          </w:p>
        </w:tc>
        <w:tc>
          <w:tcPr/>
          <w:p>
            <w:pPr>
              <w:pStyle w:val="Compact"/>
            </w:pPr>
            <w:r>
              <w:t xml:space="preserve">Down sequentially from a particularly strong Q1</w:t>
            </w:r>
          </w:p>
        </w:tc>
      </w:tr>
      <w:tr>
        <w:tc>
          <w:tcPr/>
          <w:p>
            <w:pPr>
              <w:pStyle w:val="Compact"/>
            </w:pPr>
            <w:r>
              <w:t xml:space="preserve">European derivatives contracts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13.3 million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−15%</w:t>
            </w:r>
          </w:p>
        </w:tc>
        <w:tc>
          <w:tcPr/>
          <w:p>
            <w:pPr>
              <w:pStyle w:val="Compact"/>
            </w:pPr>
            <w:r>
              <w:t xml:space="preserve">Capture increased to $0.67 from $0.55</w:t>
            </w:r>
          </w:p>
        </w:tc>
      </w:tr>
    </w:tbl>
    <w:p>
      <w:pPr>
        <w:pStyle w:val="BodyText"/>
      </w:pPr>
      <w:r>
        <w:t xml:space="preserve">(</w:t>
      </w:r>
      <w:hyperlink r:id="rId13">
        <w:r>
          <w:rPr>
            <w:rStyle w:val="Hyperlink"/>
          </w:rPr>
          <w:t xml:space="preserve">ir.nasdaq.com</w:t>
        </w:r>
      </w:hyperlink>
      <w:r>
        <w:t xml:space="preserve">)</w:t>
      </w:r>
    </w:p>
    <w:p>
      <w:pPr>
        <w:pStyle w:val="BodyText"/>
      </w:pPr>
      <w:r>
        <w:t xml:space="preserve">This suggests</w:t>
      </w:r>
      <w:r>
        <w:t xml:space="preserve"> </w:t>
      </w:r>
      <w:r>
        <w:rPr>
          <w:b/>
          <w:bCs/>
        </w:rPr>
        <w:t xml:space="preserve">healthy Market Services revenue</w:t>
      </w:r>
      <w:r>
        <w:t xml:space="preserve">, especially in U.S. cash equities, but options monetization may be less impressive than the headline volume growth implies. The central issue is order-flow mix: large volume gains are less valuable when incremental activity carries lower capture.</w:t>
      </w:r>
    </w:p>
    <w:p>
      <w:pPr>
        <w:pStyle w:val="BodyText"/>
      </w:pPr>
      <w:r>
        <w:t xml:space="preserve">Investors should also listen for updates on:</w:t>
      </w:r>
    </w:p>
    <w:p>
      <w:pPr>
        <w:pStyle w:val="Compact"/>
        <w:numPr>
          <w:ilvl w:val="0"/>
          <w:numId w:val="1004"/>
        </w:numPr>
      </w:pPr>
      <w:r>
        <w:t xml:space="preserve">The planned</w:t>
      </w:r>
      <w:r>
        <w:t xml:space="preserve"> </w:t>
      </w:r>
      <w:r>
        <w:rPr>
          <w:b/>
          <w:bCs/>
        </w:rPr>
        <w:t xml:space="preserve">December 6, 2026 launch of 23/5 U.S. trading</w:t>
      </w:r>
    </w:p>
    <w:p>
      <w:pPr>
        <w:pStyle w:val="Compact"/>
        <w:numPr>
          <w:ilvl w:val="0"/>
          <w:numId w:val="1004"/>
        </w:numPr>
      </w:pPr>
      <w:r>
        <w:t xml:space="preserve">Readiness among brokers, market makers and consolidated-tape infrastructure</w:t>
      </w:r>
    </w:p>
    <w:p>
      <w:pPr>
        <w:pStyle w:val="Compact"/>
        <w:numPr>
          <w:ilvl w:val="0"/>
          <w:numId w:val="1004"/>
        </w:numPr>
      </w:pPr>
      <w:r>
        <w:t xml:space="preserve">Early revenue opportunities in market data, connectivity and surveillance</w:t>
      </w:r>
    </w:p>
    <w:p>
      <w:pPr>
        <w:pStyle w:val="Compact"/>
        <w:numPr>
          <w:ilvl w:val="0"/>
          <w:numId w:val="1004"/>
        </w:numPr>
      </w:pPr>
      <w:r>
        <w:t xml:space="preserve">Tokenized-equity infrastructure and collaboration with DTCC</w:t>
      </w:r>
    </w:p>
    <w:p>
      <w:pPr>
        <w:pStyle w:val="FirstParagraph"/>
      </w:pPr>
      <w:r>
        <w:t xml:space="preserve">These initiatives are strategically significant but are unlikely to be material Q2 earnings contributors.</w:t>
      </w:r>
    </w:p>
    <w:p>
      <w:r>
        <w:pict>
          <v:rect style="width:0;height:1.5pt" o:hralign="center" o:hrstd="t" o:hr="t"/>
        </w:pict>
      </w:r>
    </w:p>
    <w:bookmarkEnd w:id="15"/>
    <w:bookmarkStart w:id="17" w:name="Xcba69a34b726e746e1559ab40b645bbab4fc449"/>
    <w:p>
      <w:pPr>
        <w:pStyle w:val="Heading2"/>
      </w:pPr>
      <w:r>
        <w:t xml:space="preserve">Financial Technology is the key quality test</w:t>
      </w:r>
    </w:p>
    <w:p>
      <w:pPr>
        <w:pStyle w:val="FirstParagraph"/>
      </w:pPr>
      <w:r>
        <w:t xml:space="preserve">Financial Technology was the standout in Q1:</w:t>
      </w:r>
    </w:p>
    <w:p>
      <w:pPr>
        <w:pStyle w:val="Compact"/>
        <w:numPr>
          <w:ilvl w:val="0"/>
          <w:numId w:val="1005"/>
        </w:numPr>
      </w:pPr>
      <w:r>
        <w:t xml:space="preserve">Revenue grew</w:t>
      </w:r>
      <w:r>
        <w:t xml:space="preserve"> </w:t>
      </w:r>
      <w:r>
        <w:rPr>
          <w:b/>
          <w:bCs/>
        </w:rPr>
        <w:t xml:space="preserve">18% organically</w:t>
      </w:r>
    </w:p>
    <w:p>
      <w:pPr>
        <w:pStyle w:val="Compact"/>
        <w:numPr>
          <w:ilvl w:val="0"/>
          <w:numId w:val="1005"/>
        </w:numPr>
      </w:pPr>
      <w:r>
        <w:t xml:space="preserve">ARR grew</w:t>
      </w:r>
      <w:r>
        <w:t xml:space="preserve"> </w:t>
      </w:r>
      <w:r>
        <w:rPr>
          <w:b/>
          <w:bCs/>
        </w:rPr>
        <w:t xml:space="preserve">16%</w:t>
      </w:r>
    </w:p>
    <w:p>
      <w:pPr>
        <w:pStyle w:val="Compact"/>
        <w:numPr>
          <w:ilvl w:val="0"/>
          <w:numId w:val="1005"/>
        </w:numPr>
      </w:pPr>
      <w:r>
        <w:t xml:space="preserve">ACV bookings increased more than</w:t>
      </w:r>
      <w:r>
        <w:t xml:space="preserve"> </w:t>
      </w:r>
      <w:r>
        <w:rPr>
          <w:b/>
          <w:bCs/>
        </w:rPr>
        <w:t xml:space="preserve">50%</w:t>
      </w:r>
    </w:p>
    <w:p>
      <w:pPr>
        <w:pStyle w:val="Compact"/>
        <w:numPr>
          <w:ilvl w:val="0"/>
          <w:numId w:val="1005"/>
        </w:numPr>
      </w:pPr>
      <w:r>
        <w:t xml:space="preserve">Cloud solutions represented</w:t>
      </w:r>
      <w:r>
        <w:t xml:space="preserve"> </w:t>
      </w:r>
      <w:r>
        <w:rPr>
          <w:b/>
          <w:bCs/>
        </w:rPr>
        <w:t xml:space="preserve">80% of ACV bookings</w:t>
      </w:r>
    </w:p>
    <w:p>
      <w:pPr>
        <w:pStyle w:val="Compact"/>
        <w:numPr>
          <w:ilvl w:val="0"/>
          <w:numId w:val="1005"/>
        </w:numPr>
      </w:pPr>
      <w:r>
        <w:t xml:space="preserve">Verafin revenue grew</w:t>
      </w:r>
      <w:r>
        <w:t xml:space="preserve"> </w:t>
      </w:r>
      <w:r>
        <w:rPr>
          <w:b/>
          <w:bCs/>
        </w:rPr>
        <w:t xml:space="preserve">21%</w:t>
      </w:r>
    </w:p>
    <w:p>
      <w:pPr>
        <w:pStyle w:val="Compact"/>
        <w:numPr>
          <w:ilvl w:val="0"/>
          <w:numId w:val="1005"/>
        </w:numPr>
      </w:pPr>
      <w:r>
        <w:t xml:space="preserve">The division added 64 new clients, 85 upsells and one cross-sell</w:t>
      </w:r>
    </w:p>
    <w:p>
      <w:pPr>
        <w:pStyle w:val="FirstParagraph"/>
      </w:pPr>
      <w:r>
        <w:t xml:space="preserve">However, Q1 Capital Markets Technology included upfront Calypso license revenue and termination fees that contributed roughly four percentage points to subdivision growth. Management also said the timing of professional-services revenue would vary as recently signed clients move through implementation.</w:t>
      </w:r>
    </w:p>
    <w:p>
      <w:pPr>
        <w:pStyle w:val="BodyText"/>
      </w:pPr>
      <w:r>
        <w:t xml:space="preserve">That makes Q2 less about repeating Q1’s 18% revenue growth and more about the underlying indicators:</w:t>
      </w:r>
    </w:p>
    <w:bookmarkStart w:id="16" w:name="metrics-to-prioritize"/>
    <w:p>
      <w:pPr>
        <w:pStyle w:val="Heading3"/>
      </w:pPr>
      <w:r>
        <w:t xml:space="preserve">Metrics to prioritize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Financial Technology ARR growth:</w:t>
      </w:r>
      <w:r>
        <w:t xml:space="preserve"> </w:t>
      </w:r>
      <w:r>
        <w:t xml:space="preserve">Maintaining the mid-teens rate would be a strong result.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ACV bookings:</w:t>
      </w:r>
      <w:r>
        <w:t xml:space="preserve"> </w:t>
      </w:r>
      <w:r>
        <w:t xml:space="preserve">Can Nasdaq build on the Q1 record rather than merely compare against it?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Verafin enterprise implementations:</w:t>
      </w:r>
      <w:r>
        <w:t xml:space="preserve"> </w:t>
      </w:r>
      <w:r>
        <w:t xml:space="preserve">Management previously expected deals signed in late 2025 to begin entering ARR later in 2026.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Cross-selling:</w:t>
      </w:r>
      <w:r>
        <w:t xml:space="preserve"> </w:t>
      </w:r>
      <w:r>
        <w:t xml:space="preserve">Cross-sells represented more than 15% of the Financial Technology pipeline in Q1.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Cloud mix and SaaS growth:</w:t>
      </w:r>
      <w:r>
        <w:t xml:space="preserve"> </w:t>
      </w:r>
      <w:r>
        <w:t xml:space="preserve">These indicate the durability and quality of future revenue.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Net revenue retention:</w:t>
      </w:r>
      <w:r>
        <w:t xml:space="preserve"> </w:t>
      </w:r>
      <w:r>
        <w:t xml:space="preserve">Verafin reported 110% in Q1; stability or improvement would support the land-and-expand thesis.</w:t>
      </w:r>
    </w:p>
    <w:p>
      <w:pPr>
        <w:pStyle w:val="FirstParagraph"/>
      </w:pPr>
      <w:r>
        <w:t xml:space="preserve">A reported slowdown caused by fewer upfront or one-time fees would not necessarily be concerning. A slowdown in</w:t>
      </w:r>
      <w:r>
        <w:t xml:space="preserve"> </w:t>
      </w:r>
      <w:r>
        <w:rPr>
          <w:b/>
          <w:bCs/>
        </w:rPr>
        <w:t xml:space="preserve">ARR, bookings or pipeline conversion</w:t>
      </w:r>
      <w:r>
        <w:t xml:space="preserve"> </w:t>
      </w:r>
      <w:r>
        <w:t xml:space="preserve">would be more consequential.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9" w:name="X3fc612775d78646038e1624ddc3a34f1fcdef84"/>
    <w:p>
      <w:pPr>
        <w:pStyle w:val="Heading2"/>
      </w:pPr>
      <w:r>
        <w:t xml:space="preserve">Expenses and margins could decide the reaction</w:t>
      </w:r>
    </w:p>
    <w:p>
      <w:pPr>
        <w:pStyle w:val="FirstParagraph"/>
      </w:pPr>
      <w:r>
        <w:t xml:space="preserve">Q1 net revenue grew 13% organically while adjusted expenses rose 8%, producing: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57% adjusted operating margin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60% adjusted EBITDA margin</w:t>
      </w:r>
    </w:p>
    <w:p>
      <w:pPr>
        <w:pStyle w:val="Compact"/>
        <w:numPr>
          <w:ilvl w:val="0"/>
          <w:numId w:val="1007"/>
        </w:numPr>
      </w:pPr>
      <w:r>
        <w:t xml:space="preserve">Adjusted operating income growth of 17%</w:t>
      </w:r>
    </w:p>
    <w:p>
      <w:pPr>
        <w:pStyle w:val="Compact"/>
        <w:numPr>
          <w:ilvl w:val="0"/>
          <w:numId w:val="1007"/>
        </w:numPr>
      </w:pPr>
      <w:r>
        <w:t xml:space="preserve">Adjusted EPS growth of 21%</w:t>
      </w:r>
    </w:p>
    <w:p>
      <w:pPr>
        <w:pStyle w:val="FirstParagraph"/>
      </w:pPr>
      <w:r>
        <w:t xml:space="preserve">Nasdaq subsequently raised its 2026 adjusted expense outlook from</w:t>
      </w:r>
      <w:r>
        <w:t xml:space="preserve"> </w:t>
      </w:r>
      <m:oMath>
        <m:r>
          <m:t>2.455</m:t>
        </m:r>
        <m:r>
          <m:rPr>
            <m:sty m:val="p"/>
          </m:rPr>
          <m:t>–</m:t>
        </m:r>
      </m:oMath>
      <w:r>
        <w:rPr>
          <w:b/>
          <w:bCs/>
        </w:rPr>
        <w:t xml:space="preserve">2.535 billion</w:t>
      </w:r>
      <w:r>
        <w:t xml:space="preserve"> </w:t>
      </w:r>
      <w:r>
        <w:t xml:space="preserve">to</w:t>
      </w:r>
      <w:r>
        <w:t xml:space="preserve"> </w:t>
      </w:r>
      <m:oMath>
        <m:r>
          <m:t>2.485</m:t>
        </m:r>
        <m:r>
          <m:rPr>
            <m:sty m:val="p"/>
          </m:rPr>
          <m:t>–</m:t>
        </m:r>
      </m:oMath>
      <w:r>
        <w:rPr>
          <w:b/>
          <w:bCs/>
        </w:rPr>
        <w:t xml:space="preserve">2.545 billion</w:t>
      </w:r>
      <w:r>
        <w:t xml:space="preserve">, citing stronger revenue performance and associated investment. Management also explicitly forecast faster Q2 expense growth because of compensation timing. Q1 net revenue was $1.407 billion, ARR reached $3.2 billion and Financial Technology revenue was $517 million. (</w:t>
      </w:r>
      <w:hyperlink r:id="rId18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The market will therefore distinguish between: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Constructive spending:</w:t>
      </w:r>
      <w:r>
        <w:t xml:space="preserve"> </w:t>
      </w:r>
      <w:r>
        <w:t xml:space="preserve">investment associated with stronger bookings, cloud implementations and product development.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Unfavorable cost creep:</w:t>
      </w:r>
      <w:r>
        <w:t xml:space="preserve"> </w:t>
      </w:r>
      <w:r>
        <w:t xml:space="preserve">expenses rising faster without corresponding ARR or revenue momentum.</w:t>
      </w:r>
    </w:p>
    <w:p>
      <w:pPr>
        <w:pStyle w:val="FirstParagraph"/>
      </w:pPr>
      <w:r>
        <w:t xml:space="preserve">The best outcome would be a revenue beat, stable-to-improving margins, and unchanged full-year expense guidance. A second guidance increase without stronger growth expectations could raise concerns that Nasdaq is sacrificing near-term operating leverage.</w:t>
      </w:r>
    </w:p>
    <w:p>
      <w:r>
        <w:pict>
          <v:rect style="width:0;height:1.5pt" o:hralign="center" o:hrstd="t" o:hr="t"/>
        </w:pict>
      </w:r>
    </w:p>
    <w:bookmarkEnd w:id="19"/>
    <w:bookmarkStart w:id="20" w:name="capital-allocation-and-balance-sheet"/>
    <w:p>
      <w:pPr>
        <w:pStyle w:val="Heading2"/>
      </w:pPr>
      <w:r>
        <w:t xml:space="preserve">Capital allocation and balance sheet</w:t>
      </w:r>
    </w:p>
    <w:p>
      <w:pPr>
        <w:pStyle w:val="FirstParagraph"/>
      </w:pPr>
      <w:r>
        <w:t xml:space="preserve">Nasdaq ended Q1 at</w:t>
      </w:r>
      <w:r>
        <w:t xml:space="preserve"> </w:t>
      </w:r>
      <w:r>
        <w:rPr>
          <w:b/>
          <w:bCs/>
        </w:rPr>
        <w:t xml:space="preserve">2.8× gross leverage</w:t>
      </w:r>
      <w:r>
        <w:t xml:space="preserve">, within its targeted mid-to-high-2× range, while generating $629 million of free cash flow and repurchasing $548 million of stock.</w:t>
      </w:r>
    </w:p>
    <w:p>
      <w:pPr>
        <w:pStyle w:val="BodyText"/>
      </w:pPr>
      <w:r>
        <w:t xml:space="preserve">The company also established a new</w:t>
      </w:r>
      <w:r>
        <w:t xml:space="preserve"> </w:t>
      </w:r>
      <w:r>
        <w:rPr>
          <w:b/>
          <w:bCs/>
        </w:rPr>
        <w:t xml:space="preserve">$1.5 billion unsecured revolving credit facility</w:t>
      </w:r>
      <w:r>
        <w:t xml:space="preserve"> </w:t>
      </w:r>
      <w:r>
        <w:t xml:space="preserve">in June, expandable by another $1 billion. No loans were outstanding under the facility as of July 1.</w:t>
      </w:r>
    </w:p>
    <w:p>
      <w:pPr>
        <w:pStyle w:val="BodyText"/>
      </w:pPr>
      <w:r>
        <w:t xml:space="preserve">Questions for Q2 include:</w:t>
      </w:r>
    </w:p>
    <w:p>
      <w:pPr>
        <w:pStyle w:val="Compact"/>
        <w:numPr>
          <w:ilvl w:val="0"/>
          <w:numId w:val="1009"/>
        </w:numPr>
      </w:pPr>
      <w:r>
        <w:t xml:space="preserve">Did Nasdaq continue aggressive repurchases as the stock weakened in June?</w:t>
      </w:r>
    </w:p>
    <w:p>
      <w:pPr>
        <w:pStyle w:val="Compact"/>
        <w:numPr>
          <w:ilvl w:val="0"/>
          <w:numId w:val="1009"/>
        </w:numPr>
      </w:pPr>
      <w:r>
        <w:t xml:space="preserve">Has leverage moved lower despite shareholder returns?</w:t>
      </w:r>
    </w:p>
    <w:p>
      <w:pPr>
        <w:pStyle w:val="Compact"/>
        <w:numPr>
          <w:ilvl w:val="0"/>
          <w:numId w:val="1009"/>
        </w:numPr>
      </w:pPr>
      <w:r>
        <w:t xml:space="preserve">Will management prioritize buybacks, debt reduction or incremental acquisitions?</w:t>
      </w:r>
    </w:p>
    <w:p>
      <w:pPr>
        <w:pStyle w:val="Compact"/>
        <w:numPr>
          <w:ilvl w:val="0"/>
          <w:numId w:val="1009"/>
        </w:numPr>
      </w:pPr>
      <w:r>
        <w:t xml:space="preserve">Is free-cash-flow conversion still tracking around or above 100%?</w:t>
      </w:r>
    </w:p>
    <w:p>
      <w:pPr>
        <w:pStyle w:val="FirstParagraph"/>
      </w:pPr>
      <w:r>
        <w:t xml:space="preserve">Given the stock’s midyear pullback, continued repurchases could be accretive, but investors may still prefer visible deleveraging after the Adenza acquisition.</w:t>
      </w:r>
    </w:p>
    <w:p>
      <w:r>
        <w:pict>
          <v:rect style="width:0;height:1.5pt" o:hralign="center" o:hrstd="t" o:hr="t"/>
        </w:pict>
      </w:r>
    </w:p>
    <w:bookmarkEnd w:id="20"/>
    <w:bookmarkStart w:id="22" w:name="guidance-and-strategic-milestones"/>
    <w:p>
      <w:pPr>
        <w:pStyle w:val="Heading2"/>
      </w:pPr>
      <w:r>
        <w:t xml:space="preserve">Guidance and strategic milestones</w:t>
      </w:r>
    </w:p>
    <w:p>
      <w:pPr>
        <w:pStyle w:val="FirstParagraph"/>
      </w:pPr>
      <w:r>
        <w:t xml:space="preserve">At its February Investor Day, Nasdaq raised its medium-term targets to: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Solutions revenue growth:</w:t>
      </w:r>
      <w:r>
        <w:t xml:space="preserve"> </w:t>
      </w:r>
      <w:r>
        <w:t xml:space="preserve">9%–12%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Capital Access Platforms:</w:t>
      </w:r>
      <w:r>
        <w:t xml:space="preserve"> </w:t>
      </w:r>
      <w:r>
        <w:t xml:space="preserve">6%–10%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Financial Technology:</w:t>
      </w:r>
      <w:r>
        <w:t xml:space="preserve"> </w:t>
      </w:r>
      <w:r>
        <w:t xml:space="preserve">10%–14%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Adjusted expense growth:</w:t>
      </w:r>
      <w:r>
        <w:t xml:space="preserve"> </w:t>
      </w:r>
      <w:r>
        <w:t xml:space="preserve">5%–8%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AI-driven run-rate expense efficiencies:</w:t>
      </w:r>
      <w:r>
        <w:t xml:space="preserve"> </w:t>
      </w:r>
      <w:r>
        <w:t xml:space="preserve">$100 million by the end of 2027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Cross-sell run-rate revenue target:</w:t>
      </w:r>
      <w:r>
        <w:t xml:space="preserve"> </w:t>
      </w:r>
      <w:r>
        <w:t xml:space="preserve">at least $100 million by the end of 2027</w:t>
      </w:r>
    </w:p>
    <w:p>
      <w:pPr>
        <w:pStyle w:val="FirstParagraph"/>
      </w:pPr>
      <w:r>
        <w:t xml:space="preserve">(</w:t>
      </w:r>
      <w:hyperlink r:id="rId21">
        <w:r>
          <w:rPr>
            <w:rStyle w:val="Hyperlink"/>
          </w:rPr>
          <w:t xml:space="preserve">ir.nasdaq.com</w:t>
        </w:r>
      </w:hyperlink>
      <w:r>
        <w:t xml:space="preserve">)</w:t>
      </w:r>
    </w:p>
    <w:p>
      <w:pPr>
        <w:pStyle w:val="BodyText"/>
      </w:pPr>
      <w:r>
        <w:t xml:space="preserve">Management is unlikely to change these medium-term targets after one quarter. Investors should instead assess whether Q2 results increase or reduce confidence in them.</w:t>
      </w:r>
    </w:p>
    <w:p>
      <w:pPr>
        <w:pStyle w:val="BodyText"/>
      </w:pPr>
      <w:r>
        <w:t xml:space="preserve">Particularly important will be any quantification of:</w:t>
      </w:r>
    </w:p>
    <w:p>
      <w:pPr>
        <w:pStyle w:val="Compact"/>
        <w:numPr>
          <w:ilvl w:val="0"/>
          <w:numId w:val="1011"/>
        </w:numPr>
      </w:pPr>
      <w:r>
        <w:t xml:space="preserve">Benefits already realized from AI productivity initiatives</w:t>
      </w:r>
    </w:p>
    <w:p>
      <w:pPr>
        <w:pStyle w:val="Compact"/>
        <w:numPr>
          <w:ilvl w:val="0"/>
          <w:numId w:val="1011"/>
        </w:numPr>
      </w:pPr>
      <w:r>
        <w:t xml:space="preserve">Costs required to generate the targeted $100 million of savings</w:t>
      </w:r>
    </w:p>
    <w:p>
      <w:pPr>
        <w:pStyle w:val="Compact"/>
        <w:numPr>
          <w:ilvl w:val="0"/>
          <w:numId w:val="1011"/>
        </w:numPr>
      </w:pPr>
      <w:r>
        <w:t xml:space="preserve">Progress toward the cross-sell target</w:t>
      </w:r>
    </w:p>
    <w:p>
      <w:pPr>
        <w:pStyle w:val="Compact"/>
        <w:numPr>
          <w:ilvl w:val="0"/>
          <w:numId w:val="1011"/>
        </w:numPr>
      </w:pPr>
      <w:r>
        <w:t xml:space="preserve">The timing of Verafin and Adenza contract implementations</w:t>
      </w:r>
    </w:p>
    <w:p>
      <w:pPr>
        <w:pStyle w:val="Compact"/>
        <w:numPr>
          <w:ilvl w:val="0"/>
          <w:numId w:val="1011"/>
        </w:numPr>
      </w:pPr>
      <w:r>
        <w:t xml:space="preserve">Revenue opportunities related to 23/5 trading</w:t>
      </w:r>
    </w:p>
    <w:p>
      <w:r>
        <w:pict>
          <v:rect style="width:0;height:1.5pt" o:hralign="center" o:hrstd="t" o:hr="t"/>
        </w:pict>
      </w:r>
    </w:p>
    <w:bookmarkEnd w:id="22"/>
    <w:bookmarkStart w:id="23" w:name="stock-setup-and-expectations"/>
    <w:p>
      <w:pPr>
        <w:pStyle w:val="Heading2"/>
      </w:pPr>
      <w:r>
        <w:t xml:space="preserve">Stock setup and expectations</w:t>
      </w:r>
    </w:p>
    <w:p>
      <w:pPr>
        <w:pStyle w:val="FirstParagraph"/>
      </w:pPr>
      <w:r>
        <w:t xml:space="preserve">NDAQ closed July 22 at</w:t>
      </w:r>
      <w:r>
        <w:t xml:space="preserve"> </w:t>
      </w:r>
      <w:r>
        <w:rPr>
          <w:b/>
          <w:bCs/>
        </w:rPr>
        <w:t xml:space="preserve">$90.92</w:t>
      </w:r>
      <w:r>
        <w:t xml:space="preserve">, approximately: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6% below</w:t>
      </w:r>
      <w:r>
        <w:t xml:space="preserve"> </w:t>
      </w:r>
      <w:r>
        <w:t xml:space="preserve">its year-end 2025 price</w:t>
      </w:r>
    </w:p>
    <w:p>
      <w:pPr>
        <w:pStyle w:val="Compact"/>
        <w:numPr>
          <w:ilvl w:val="0"/>
          <w:numId w:val="1012"/>
        </w:numPr>
      </w:pPr>
      <w:r>
        <w:t xml:space="preserve">Only</w:t>
      </w:r>
      <w:r>
        <w:t xml:space="preserve"> </w:t>
      </w:r>
      <w:r>
        <w:rPr>
          <w:b/>
          <w:bCs/>
        </w:rPr>
        <w:t xml:space="preserve">2% above</w:t>
      </w:r>
      <w:r>
        <w:t xml:space="preserve"> </w:t>
      </w:r>
      <w:r>
        <w:t xml:space="preserve">its level one year earlier</w:t>
      </w:r>
    </w:p>
    <w:p>
      <w:pPr>
        <w:pStyle w:val="Compact"/>
        <w:numPr>
          <w:ilvl w:val="0"/>
          <w:numId w:val="1012"/>
        </w:numPr>
      </w:pPr>
      <w:r>
        <w:t xml:space="preserve">Well behind the S&amp;P 500’s roughly 10% gain since year-end</w:t>
      </w:r>
    </w:p>
    <w:p>
      <w:pPr>
        <w:pStyle w:val="FirstParagraph"/>
      </w:pPr>
      <w:r>
        <w:t xml:space="preserve">Using current LSEG estimates, the stock trades near: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23× 2026 EPS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20.5× 2027 EPS</w:t>
      </w:r>
    </w:p>
    <w:p>
      <w:pPr>
        <w:pStyle w:val="FirstParagraph"/>
      </w:pPr>
      <w:r>
        <w:t xml:space="preserve">That is not a distressed valuation, but expectations appear less elevated than they were at the start of 2026. The stock may respond well to a clean beat paired with durable ARR and expense discipline. Conversely, its premium multiple leaves limited tolerance for a weakening FinTech pipeline or another expense-guidance increase.</w:t>
      </w:r>
    </w:p>
    <w:p>
      <w:r>
        <w:pict>
          <v:rect style="width:0;height:1.5pt" o:hralign="center" o:hrstd="t" o:hr="t"/>
        </w:pict>
      </w:r>
    </w:p>
    <w:bookmarkEnd w:id="23"/>
    <w:bookmarkStart w:id="27" w:name="bull-base-and-bear-outcomes"/>
    <w:p>
      <w:pPr>
        <w:pStyle w:val="Heading2"/>
      </w:pPr>
      <w:r>
        <w:t xml:space="preserve">Bull, base and bear outcomes</w:t>
      </w:r>
    </w:p>
    <w:bookmarkStart w:id="24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4"/>
        </w:numPr>
      </w:pPr>
      <w:r>
        <w:t xml:space="preserve">EPS of</w:t>
      </w:r>
      <w:r>
        <w:t xml:space="preserve"> </w:t>
      </w:r>
      <w:r>
        <w:rPr>
          <w:b/>
          <w:bCs/>
        </w:rPr>
        <w:t xml:space="preserve">$0.98 or better</w:t>
      </w:r>
    </w:p>
    <w:p>
      <w:pPr>
        <w:pStyle w:val="Compact"/>
        <w:numPr>
          <w:ilvl w:val="0"/>
          <w:numId w:val="1014"/>
        </w:numPr>
      </w:pPr>
      <w:r>
        <w:t xml:space="preserve">Net revenue comfortably above $1.42 billion</w:t>
      </w:r>
    </w:p>
    <w:p>
      <w:pPr>
        <w:pStyle w:val="Compact"/>
        <w:numPr>
          <w:ilvl w:val="0"/>
          <w:numId w:val="1014"/>
        </w:numPr>
      </w:pPr>
      <w:r>
        <w:t xml:space="preserve">Index meaningfully outperforms</w:t>
      </w:r>
    </w:p>
    <w:p>
      <w:pPr>
        <w:pStyle w:val="Compact"/>
        <w:numPr>
          <w:ilvl w:val="0"/>
          <w:numId w:val="1014"/>
        </w:numPr>
      </w:pPr>
      <w:r>
        <w:t xml:space="preserve">Financial Technology ARR remains in the mid-teens</w:t>
      </w:r>
    </w:p>
    <w:p>
      <w:pPr>
        <w:pStyle w:val="Compact"/>
        <w:numPr>
          <w:ilvl w:val="0"/>
          <w:numId w:val="1014"/>
        </w:numPr>
      </w:pPr>
      <w:r>
        <w:t xml:space="preserve">Bookings and cross-sell activity remain strong</w:t>
      </w:r>
    </w:p>
    <w:p>
      <w:pPr>
        <w:pStyle w:val="Compact"/>
        <w:numPr>
          <w:ilvl w:val="0"/>
          <w:numId w:val="1014"/>
        </w:numPr>
      </w:pPr>
      <w:r>
        <w:t xml:space="preserve">Operating margin holds despite compensation timing</w:t>
      </w:r>
    </w:p>
    <w:p>
      <w:pPr>
        <w:pStyle w:val="Compact"/>
        <w:numPr>
          <w:ilvl w:val="0"/>
          <w:numId w:val="1014"/>
        </w:numPr>
      </w:pPr>
      <w:r>
        <w:t xml:space="preserve">Expense guidance is maintained</w:t>
      </w:r>
    </w:p>
    <w:p>
      <w:pPr>
        <w:pStyle w:val="Compact"/>
        <w:numPr>
          <w:ilvl w:val="0"/>
          <w:numId w:val="1014"/>
        </w:numPr>
      </w:pPr>
      <w:r>
        <w:t xml:space="preserve">Management expresses increased confidence in second-half implementations</w:t>
      </w:r>
    </w:p>
    <w:bookmarkEnd w:id="24"/>
    <w:bookmarkStart w:id="25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5"/>
        </w:numPr>
      </w:pPr>
      <w:r>
        <w:t xml:space="preserve">EPS near</w:t>
      </w:r>
      <w:r>
        <w:t xml:space="preserve"> </w:t>
      </w:r>
      <m:oMath>
        <m:r>
          <m:t>0.95</m:t>
        </m:r>
        <m:r>
          <m:rPr>
            <m:sty m:val="p"/>
          </m:rPr>
          <m:t>–</m:t>
        </m:r>
      </m:oMath>
      <w:r>
        <w:rPr>
          <w:b/>
          <w:bCs/>
        </w:rPr>
        <w:t xml:space="preserve">0.97</w:t>
      </w:r>
    </w:p>
    <w:p>
      <w:pPr>
        <w:pStyle w:val="Compact"/>
        <w:numPr>
          <w:ilvl w:val="0"/>
          <w:numId w:val="1015"/>
        </w:numPr>
      </w:pPr>
      <w:r>
        <w:t xml:space="preserve">Strong Index and Market Services offset more normalized FinTech revenue</w:t>
      </w:r>
    </w:p>
    <w:p>
      <w:pPr>
        <w:pStyle w:val="Compact"/>
        <w:numPr>
          <w:ilvl w:val="0"/>
          <w:numId w:val="1015"/>
        </w:numPr>
      </w:pPr>
      <w:r>
        <w:t xml:space="preserve">ARR remains healthy, but reported FinTech growth decelerates from Q1</w:t>
      </w:r>
    </w:p>
    <w:p>
      <w:pPr>
        <w:pStyle w:val="Compact"/>
        <w:numPr>
          <w:ilvl w:val="0"/>
          <w:numId w:val="1015"/>
        </w:numPr>
      </w:pPr>
      <w:r>
        <w:t xml:space="preserve">Expenses rise as guided</w:t>
      </w:r>
    </w:p>
    <w:p>
      <w:pPr>
        <w:pStyle w:val="Compact"/>
        <w:numPr>
          <w:ilvl w:val="0"/>
          <w:numId w:val="1015"/>
        </w:numPr>
      </w:pPr>
      <w:r>
        <w:t xml:space="preserve">Full-year expense and tax guidance are reiterated</w:t>
      </w:r>
    </w:p>
    <w:p>
      <w:pPr>
        <w:pStyle w:val="FirstParagraph"/>
      </w:pPr>
      <w:r>
        <w:t xml:space="preserve">This would be fundamentally solid, though the stock reaction could be muted unless the call contains positive second-half commentary.</w:t>
      </w:r>
    </w:p>
    <w:bookmarkEnd w:id="25"/>
    <w:bookmarkStart w:id="26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6"/>
        </w:numPr>
      </w:pPr>
      <w:r>
        <w:t xml:space="preserve">EPS below</w:t>
      </w:r>
      <w:r>
        <w:t xml:space="preserve"> </w:t>
      </w:r>
      <w:r>
        <w:rPr>
          <w:b/>
          <w:bCs/>
        </w:rPr>
        <w:t xml:space="preserve">$0.93</w:t>
      </w:r>
    </w:p>
    <w:p>
      <w:pPr>
        <w:pStyle w:val="Compact"/>
        <w:numPr>
          <w:ilvl w:val="0"/>
          <w:numId w:val="1016"/>
        </w:numPr>
      </w:pPr>
      <w:r>
        <w:t xml:space="preserve">Financial Technology ARR or bookings slow materially</w:t>
      </w:r>
    </w:p>
    <w:p>
      <w:pPr>
        <w:pStyle w:val="Compact"/>
        <w:numPr>
          <w:ilvl w:val="0"/>
          <w:numId w:val="1016"/>
        </w:numPr>
      </w:pPr>
      <w:r>
        <w:t xml:space="preserve">Index revenue fails to reflect the large AUM increase</w:t>
      </w:r>
    </w:p>
    <w:p>
      <w:pPr>
        <w:pStyle w:val="Compact"/>
        <w:numPr>
          <w:ilvl w:val="0"/>
          <w:numId w:val="1016"/>
        </w:numPr>
      </w:pPr>
      <w:r>
        <w:t xml:space="preserve">Options capture meaningfully offsets volume growth</w:t>
      </w:r>
    </w:p>
    <w:p>
      <w:pPr>
        <w:pStyle w:val="Compact"/>
        <w:numPr>
          <w:ilvl w:val="0"/>
          <w:numId w:val="1016"/>
        </w:numPr>
      </w:pPr>
      <w:r>
        <w:t xml:space="preserve">Expense guidance rises again</w:t>
      </w:r>
    </w:p>
    <w:p>
      <w:pPr>
        <w:pStyle w:val="Compact"/>
        <w:numPr>
          <w:ilvl w:val="0"/>
          <w:numId w:val="1016"/>
        </w:numPr>
      </w:pPr>
      <w:r>
        <w:t xml:space="preserve">Verafin implementations shift further into 2027</w:t>
      </w:r>
    </w:p>
    <w:p>
      <w:pPr>
        <w:pStyle w:val="Compact"/>
        <w:numPr>
          <w:ilvl w:val="0"/>
          <w:numId w:val="1016"/>
        </w:numPr>
      </w:pPr>
      <w:r>
        <w:t xml:space="preserve">Management becomes less confident about medium-term operating leverage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28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visible Q2 data are favorable: index-linked AUM surged, U.S. equity and options volumes were strong, and Nasdaq entered the period with record Financial Technology bookings. That makes a significant top-line disappointment less likely.</w:t>
      </w:r>
    </w:p>
    <w:p>
      <w:pPr>
        <w:pStyle w:val="BodyText"/>
      </w:pPr>
      <w:r>
        <w:t xml:space="preserve">The more important question is</w:t>
      </w:r>
      <w:r>
        <w:t xml:space="preserve"> </w:t>
      </w:r>
      <w:r>
        <w:rPr>
          <w:b/>
          <w:bCs/>
        </w:rPr>
        <w:t xml:space="preserve">earnings quality</w:t>
      </w:r>
      <w:r>
        <w:t xml:space="preserve">. Investors should focus on whether Nasdaq can translate strong market conditions and bookings into:</w:t>
      </w:r>
    </w:p>
    <w:p>
      <w:pPr>
        <w:pStyle w:val="Compact"/>
        <w:numPr>
          <w:ilvl w:val="0"/>
          <w:numId w:val="1017"/>
        </w:numPr>
      </w:pPr>
      <w:r>
        <w:t xml:space="preserve">Sustained double-digit Solutions growth</w:t>
      </w:r>
    </w:p>
    <w:p>
      <w:pPr>
        <w:pStyle w:val="Compact"/>
        <w:numPr>
          <w:ilvl w:val="0"/>
          <w:numId w:val="1017"/>
        </w:numPr>
      </w:pPr>
      <w:r>
        <w:t xml:space="preserve">Mid-teens Financial Technology ARR growth</w:t>
      </w:r>
    </w:p>
    <w:p>
      <w:pPr>
        <w:pStyle w:val="Compact"/>
        <w:numPr>
          <w:ilvl w:val="0"/>
          <w:numId w:val="1017"/>
        </w:numPr>
      </w:pPr>
      <w:r>
        <w:t xml:space="preserve">Stable or improving operating leverage</w:t>
      </w:r>
    </w:p>
    <w:p>
      <w:pPr>
        <w:pStyle w:val="Compact"/>
        <w:numPr>
          <w:ilvl w:val="0"/>
          <w:numId w:val="1017"/>
        </w:numPr>
      </w:pPr>
      <w:r>
        <w:t xml:space="preserve">Strong free-cash-flow conversion</w:t>
      </w:r>
    </w:p>
    <w:p>
      <w:pPr>
        <w:pStyle w:val="Compact"/>
        <w:numPr>
          <w:ilvl w:val="0"/>
          <w:numId w:val="1017"/>
        </w:numPr>
      </w:pPr>
      <w:r>
        <w:t xml:space="preserve">Credible progress toward its AI-efficiency and cross-sell targets</w:t>
      </w:r>
    </w:p>
    <w:p>
      <w:pPr>
        <w:pStyle w:val="FirstParagraph"/>
      </w:pPr>
      <w:r>
        <w:rPr>
          <w:b/>
          <w:bCs/>
        </w:rPr>
        <w:t xml:space="preserve">Most likely setup:</w:t>
      </w:r>
      <w:r>
        <w:t xml:space="preserve"> </w:t>
      </w:r>
      <w:r>
        <w:t xml:space="preserve">a solid or modestly better-than-expected quarter, with the stock’s direction determined by FinTech recurring metrics and expense commentary rather than the headline EPS number alone.</w:t>
      </w:r>
    </w:p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1" Target="https://ir.nasdaq.com/node/110051" TargetMode="External" /><Relationship Type="http://schemas.openxmlformats.org/officeDocument/2006/relationships/hyperlink" Id="rId13" Target="https://ir.nasdaq.com/static-files/465d2157-c476-4546-a9f7-8d7ad0c9be77" TargetMode="External" /><Relationship Type="http://schemas.openxmlformats.org/officeDocument/2006/relationships/hyperlink" Id="rId11" Target="https://ir.nasdaq.com/stock-information/earnings-estimates?utm_source=openai" TargetMode="External" /><Relationship Type="http://schemas.openxmlformats.org/officeDocument/2006/relationships/hyperlink" Id="rId9" Target="https://www.nasdaq.com/press-release/nasdaq-hold-second-quarter-2026-investor-conference-call-2026-06-29?utm_source=openai" TargetMode="External" /><Relationship Type="http://schemas.openxmlformats.org/officeDocument/2006/relationships/hyperlink" Id="rId18" Target="https://www.sec.gov/Archives/edgar/data/1120193/000119312526171829/d148002dex991.htm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s://ir.nasdaq.com/node/110051" TargetMode="External" /><Relationship Type="http://schemas.openxmlformats.org/officeDocument/2006/relationships/hyperlink" Id="rId13" Target="https://ir.nasdaq.com/static-files/465d2157-c476-4546-a9f7-8d7ad0c9be77" TargetMode="External" /><Relationship Type="http://schemas.openxmlformats.org/officeDocument/2006/relationships/hyperlink" Id="rId11" Target="https://ir.nasdaq.com/stock-information/earnings-estimates?utm_source=openai" TargetMode="External" /><Relationship Type="http://schemas.openxmlformats.org/officeDocument/2006/relationships/hyperlink" Id="rId9" Target="https://www.nasdaq.com/press-release/nasdaq-hold-second-quarter-2026-investor-conference-call-2026-06-29?utm_source=openai" TargetMode="External" /><Relationship Type="http://schemas.openxmlformats.org/officeDocument/2006/relationships/hyperlink" Id="rId18" Target="https://www.sec.gov/Archives/edgar/data/1120193/000119312526171829/d148002dex991.htm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2026-07-23T00:15:56Z</dcterms:created>
  <dcterms:modified xsi:type="dcterms:W3CDTF">2026-07-23T00:15:56Z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