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nasdaq-ndaq-2q26-earnings-preview"/>
    <w:p>
      <w:pPr>
        <w:pStyle w:val="Heading1"/>
      </w:pPr>
      <w:r>
        <w:t xml:space="preserve">Nasdaq (NDAQ) 2Q26 Earnings Preview</w:t>
      </w:r>
    </w:p>
    <w:p>
      <w:pPr>
        <w:pStyle w:val="BlockText"/>
      </w:pPr>
      <w:r>
        <w:rPr>
          <w:b/>
          <w:bCs/>
        </w:rPr>
        <w:t xml:space="preserve">Timing note:</w:t>
      </w:r>
      <w:r>
        <w:t xml:space="preserve"> </w:t>
      </w:r>
      <w:r>
        <w:t xml:space="preserve">Nasdaq scheduled its 2Q26 results release for</w:t>
      </w:r>
      <w:r>
        <w:t xml:space="preserve"> </w:t>
      </w:r>
      <w:r>
        <w:rPr>
          <w:b/>
          <w:bCs/>
        </w:rPr>
        <w:t xml:space="preserve">Thursday, July 23, 2026 at approximately 7:00 a.m. ET</w:t>
      </w:r>
      <w:r>
        <w:t xml:space="preserve">, followed by an</w:t>
      </w:r>
      <w:r>
        <w:t xml:space="preserve"> </w:t>
      </w:r>
      <w:r>
        <w:rPr>
          <w:b/>
          <w:bCs/>
        </w:rPr>
        <w:t xml:space="preserve">8:00 a.m. ET</w:t>
      </w:r>
      <w:r>
        <w:t xml:space="preserve"> </w:t>
      </w:r>
      <w:r>
        <w:t xml:space="preserve">conference call. That is</w:t>
      </w:r>
      <w:r>
        <w:t xml:space="preserve"> </w:t>
      </w:r>
      <w:r>
        <w:rPr>
          <w:b/>
          <w:bCs/>
        </w:rPr>
        <w:t xml:space="preserve">today</w:t>
      </w:r>
      <w:r>
        <w:t xml:space="preserve">, not tomorrow. This preview is therefore framed around the scheduled event and the information available ahead of the release.</w:t>
      </w:r>
    </w:p>
    <w:bookmarkStart w:id="9" w:name="Xae5381f5e0aa2ab584f2cac3ba4aa961b934cad"/>
    <w:p>
      <w:pPr>
        <w:pStyle w:val="Heading2"/>
      </w:pPr>
      <w:r>
        <w:t xml:space="preserve">Investment view: execution versus elevated expectations</w:t>
      </w:r>
    </w:p>
    <w:p>
      <w:pPr>
        <w:pStyle w:val="FirstParagraph"/>
      </w:pPr>
      <w:r>
        <w:t xml:space="preserve">Nasdaq enters 2Q26 with substantial operating momentum. The key question is less whether it can post growth, and more whether it can</w:t>
      </w:r>
      <w:r>
        <w:t xml:space="preserve"> </w:t>
      </w:r>
      <w:r>
        <w:rPr>
          <w:b/>
          <w:bCs/>
        </w:rPr>
        <w:t xml:space="preserve">sustain the unusually strong 1Q pace</w:t>
      </w:r>
      <w:r>
        <w:t xml:space="preserve"> </w:t>
      </w:r>
      <w:r>
        <w:t xml:space="preserve">while demonstrating that the growth is increasingly recurring, broad-based, and not overly dependent on favorable trading conditions or discrete revenue items.</w:t>
      </w:r>
    </w:p>
    <w:p>
      <w:pPr>
        <w:pStyle w:val="BodyText"/>
      </w:pPr>
      <w:r>
        <w:t xml:space="preserve">The setup is constructive:</w:t>
      </w:r>
    </w:p>
    <w:p>
      <w:pPr>
        <w:pStyle w:val="Compact"/>
        <w:numPr>
          <w:ilvl w:val="0"/>
          <w:numId w:val="1001"/>
        </w:numPr>
      </w:pPr>
      <w:r>
        <w:rPr>
          <w:b/>
          <w:bCs/>
        </w:rPr>
        <w:t xml:space="preserve">Financial Technology</w:t>
      </w:r>
      <w:r>
        <w:t xml:space="preserve"> </w:t>
      </w:r>
      <w:r>
        <w:t xml:space="preserve">is growing rapidly, supported by cloud migration, cross-selling, AI-enabled products, and demand for regulatory, risk, and capital-markets infrastructure.</w:t>
      </w:r>
    </w:p>
    <w:p>
      <w:pPr>
        <w:pStyle w:val="Compact"/>
        <w:numPr>
          <w:ilvl w:val="0"/>
          <w:numId w:val="1001"/>
        </w:numPr>
      </w:pPr>
      <w:r>
        <w:rPr>
          <w:b/>
          <w:bCs/>
        </w:rPr>
        <w:t xml:space="preserve">Index</w:t>
      </w:r>
      <w:r>
        <w:t xml:space="preserve"> </w:t>
      </w:r>
      <w:r>
        <w:t xml:space="preserve">has multiple growth vectors: higher average ETP AUM, international distribution, institutional adoption, and broadened Nasdaq-100 ETF partnerships.</w:t>
      </w:r>
    </w:p>
    <w:p>
      <w:pPr>
        <w:pStyle w:val="Compact"/>
        <w:numPr>
          <w:ilvl w:val="0"/>
          <w:numId w:val="1001"/>
        </w:numPr>
      </w:pPr>
      <w:r>
        <w:rPr>
          <w:b/>
          <w:bCs/>
        </w:rPr>
        <w:t xml:space="preserve">Market Services</w:t>
      </w:r>
      <w:r>
        <w:t xml:space="preserve"> </w:t>
      </w:r>
      <w:r>
        <w:t xml:space="preserve">should benefit if elevated U.S. equity/options activity persisted through the quarter.</w:t>
      </w:r>
    </w:p>
    <w:p>
      <w:pPr>
        <w:pStyle w:val="Compact"/>
        <w:numPr>
          <w:ilvl w:val="0"/>
          <w:numId w:val="1001"/>
        </w:numPr>
      </w:pPr>
      <w:r>
        <w:t xml:space="preserve">Management’s April guidance update left room for continued operating leverage, although it explicitly warned that</w:t>
      </w:r>
      <w:r>
        <w:t xml:space="preserve"> </w:t>
      </w:r>
      <w:r>
        <w:rPr>
          <w:b/>
          <w:bCs/>
        </w:rPr>
        <w:t xml:space="preserve">2Q expense growth would exceed 1Q</w:t>
      </w:r>
      <w:r>
        <w:t xml:space="preserve"> </w:t>
      </w:r>
      <w:r>
        <w:t xml:space="preserve">because of the annual compensation cycle.</w:t>
      </w:r>
    </w:p>
    <w:p>
      <w:pPr>
        <w:pStyle w:val="FirstParagraph"/>
      </w:pPr>
      <w:r>
        <w:t xml:space="preserve">The main challenge: 1Q was exceptionally strong. Financial Technology contained several favorable items, while Market Services had record activity. Investors will likely demand evidence that Nasdaq’s high-growth, high-margin “solutions” narrative remains intact even as quarterly comparisons become tougher.</w:t>
      </w:r>
    </w:p>
    <w:p>
      <w:r>
        <w:pict>
          <v:rect style="width:0;height:1.5pt" o:hralign="center" o:hrstd="t" o:hr="t"/>
        </w:pict>
      </w:r>
    </w:p>
    <w:bookmarkEnd w:id="9"/>
    <w:bookmarkStart w:id="15" w:name="what-matters-most-in-the-print"/>
    <w:p>
      <w:pPr>
        <w:pStyle w:val="Heading2"/>
      </w:pPr>
      <w:r>
        <w:t xml:space="preserve">What matters most in the print</w:t>
      </w:r>
    </w:p>
    <w:bookmarkStart w:id="10" w:name="X2beff030b22760cfb22cbc39bf0f71a45a3c2ae"/>
    <w:p>
      <w:pPr>
        <w:pStyle w:val="Heading3"/>
      </w:pPr>
      <w:r>
        <w:t xml:space="preserve">1. Financial Technology: can the growth engine remain in the high teens?</w:t>
      </w:r>
    </w:p>
    <w:p>
      <w:pPr>
        <w:pStyle w:val="FirstParagraph"/>
      </w:pPr>
      <w:r>
        <w:t xml:space="preserve">This is the most important area of the report.</w:t>
      </w:r>
    </w:p>
    <w:p>
      <w:pPr>
        <w:pStyle w:val="BodyText"/>
      </w:pPr>
      <w:r>
        <w:t xml:space="preserve">In 1Q26, Financial Technology revenue rose</w:t>
      </w:r>
      <w:r>
        <w:t xml:space="preserve"> </w:t>
      </w:r>
      <w:r>
        <w:rPr>
          <w:b/>
          <w:bCs/>
        </w:rPr>
        <w:t xml:space="preserve">20% reported / 18% organic</w:t>
      </w:r>
      <w:r>
        <w:t xml:space="preserve"> </w:t>
      </w:r>
      <w:r>
        <w:t xml:space="preserve">to</w:t>
      </w:r>
      <w:r>
        <w:t xml:space="preserve"> </w:t>
      </w:r>
      <w:r>
        <w:rPr>
          <w:b/>
          <w:bCs/>
        </w:rPr>
        <w:t xml:space="preserve">$517 million</w:t>
      </w:r>
      <w:r>
        <w:t xml:space="preserve">, with ARR up</w:t>
      </w:r>
      <w:r>
        <w:t xml:space="preserve"> </w:t>
      </w:r>
      <w:r>
        <w:rPr>
          <w:b/>
          <w:bCs/>
        </w:rPr>
        <w:t xml:space="preserve">16% organic</w:t>
      </w:r>
      <w:r>
        <w:t xml:space="preserve">. Capital Markets Technology grew 20% organically, Financial Crime Management Technology grew 21%, and Regulatory Technology grew 12%.</w:t>
      </w:r>
    </w:p>
    <w:p>
      <w:pPr>
        <w:pStyle w:val="BodyText"/>
      </w:pPr>
      <w:r>
        <w:t xml:space="preserve">For 2Q, investors should focus on:</w:t>
      </w:r>
    </w:p>
    <w:p>
      <w:pPr>
        <w:pStyle w:val="Compact"/>
        <w:numPr>
          <w:ilvl w:val="0"/>
          <w:numId w:val="1002"/>
        </w:numPr>
      </w:pPr>
      <w:r>
        <w:rPr>
          <w:b/>
          <w:bCs/>
        </w:rPr>
        <w:t xml:space="preserve">Revenue and ARR growth</w:t>
      </w:r>
      <w:r>
        <w:t xml:space="preserve">, especially whether FinTech remains near the mid-to-high teens organically.</w:t>
      </w:r>
    </w:p>
    <w:p>
      <w:pPr>
        <w:pStyle w:val="Compact"/>
        <w:numPr>
          <w:ilvl w:val="0"/>
          <w:numId w:val="1002"/>
        </w:numPr>
      </w:pPr>
      <w:r>
        <w:rPr>
          <w:b/>
          <w:bCs/>
        </w:rPr>
        <w:t xml:space="preserve">Bookings and cloud mix.</w:t>
      </w:r>
      <w:r>
        <w:t xml:space="preserve"> </w:t>
      </w:r>
      <w:r>
        <w:t xml:space="preserve">In 1Q, ACV bookings rose more than 50% year over year and 80% of bookings were cloud-based.</w:t>
      </w:r>
    </w:p>
    <w:p>
      <w:pPr>
        <w:pStyle w:val="Compact"/>
        <w:numPr>
          <w:ilvl w:val="0"/>
          <w:numId w:val="1002"/>
        </w:numPr>
      </w:pPr>
      <w:r>
        <w:rPr>
          <w:b/>
          <w:bCs/>
        </w:rPr>
        <w:t xml:space="preserve">Verafin enterprise traction.</w:t>
      </w:r>
      <w:r>
        <w:t xml:space="preserve"> </w:t>
      </w:r>
      <w:r>
        <w:t xml:space="preserve">Management indicated that enterprise wins signed in late 2025 should begin contributing more materially later in 2026 as implementations go live.</w:t>
      </w:r>
    </w:p>
    <w:p>
      <w:pPr>
        <w:pStyle w:val="Compact"/>
        <w:numPr>
          <w:ilvl w:val="0"/>
          <w:numId w:val="1002"/>
        </w:numPr>
      </w:pPr>
      <w:r>
        <w:rPr>
          <w:b/>
          <w:bCs/>
        </w:rPr>
        <w:t xml:space="preserve">Cross-sells.</w:t>
      </w:r>
      <w:r>
        <w:t xml:space="preserve"> </w:t>
      </w:r>
      <w:r>
        <w:t xml:space="preserve">Cross-sells represented more than 15% of the FinTech pipeline at the end of 1Q. Evidence of conversion is important to the $100 million-plus run-rate cross-sell target by year-end 2027.</w:t>
      </w:r>
    </w:p>
    <w:p>
      <w:pPr>
        <w:pStyle w:val="Compact"/>
        <w:numPr>
          <w:ilvl w:val="0"/>
          <w:numId w:val="1002"/>
        </w:numPr>
      </w:pPr>
      <w:r>
        <w:rPr>
          <w:b/>
          <w:bCs/>
        </w:rPr>
        <w:t xml:space="preserve">Quality of growth.</w:t>
      </w:r>
      <w:r>
        <w:t xml:space="preserve"> </w:t>
      </w:r>
      <w:r>
        <w:t xml:space="preserve">In 1Q, Capital Markets Technology benefited from pricing, data-center demand, upfront recognition on certain on-premise Calypso deals, and termination fees. Investors will want to separate recurring execution from those less-repeatable factors.</w:t>
      </w:r>
    </w:p>
    <w:p>
      <w:pPr>
        <w:pStyle w:val="FirstParagraph"/>
      </w:pPr>
      <w:r>
        <w:rPr>
          <w:b/>
          <w:bCs/>
        </w:rPr>
        <w:t xml:space="preserve">Read-through:</w:t>
      </w:r>
      <w:r>
        <w:t xml:space="preserve"> </w:t>
      </w:r>
      <w:r>
        <w:t xml:space="preserve">Continued high-teens organic FinTech growth, with healthy ARR and bookings, would reinforce the view that Nasdaq is becoming more of a durable infrastructure-and-software compounder than a cyclical exchange operator.</w:t>
      </w:r>
    </w:p>
    <w:p>
      <w:r>
        <w:pict>
          <v:rect style="width:0;height:1.5pt" o:hralign="center" o:hrstd="t" o:hr="t"/>
        </w:pict>
      </w:r>
    </w:p>
    <w:bookmarkEnd w:id="10"/>
    <w:bookmarkStart w:id="11" w:name="X54a767ddb8ab4bd7879329d9dc825681af1fde2"/>
    <w:p>
      <w:pPr>
        <w:pStyle w:val="Heading3"/>
      </w:pPr>
      <w:r>
        <w:t xml:space="preserve">2. Solutions growth and ARR: proof that the recurring-revenue mix is working</w:t>
      </w:r>
    </w:p>
    <w:p>
      <w:pPr>
        <w:pStyle w:val="FirstParagraph"/>
      </w:pPr>
      <w:r>
        <w:t xml:space="preserve">Nasdaq reported</w:t>
      </w:r>
      <w:r>
        <w:t xml:space="preserve"> </w:t>
      </w:r>
      <m:oMath>
        <m:r>
          <m:t>1.082</m:t>
        </m:r>
        <m:r>
          <m:t>b</m:t>
        </m:r>
        <m:r>
          <m:t>i</m:t>
        </m:r>
        <m:r>
          <m:t>l</m:t>
        </m:r>
        <m:r>
          <m:t>l</m:t>
        </m:r>
        <m:r>
          <m:t>i</m:t>
        </m:r>
        <m:r>
          <m:t>o</m:t>
        </m:r>
        <m:r>
          <m:t>n</m:t>
        </m:r>
        <m:r>
          <m:t>o</m:t>
        </m:r>
        <m:r>
          <m:t>f</m:t>
        </m:r>
        <m:r>
          <m:t>S</m:t>
        </m:r>
        <m:r>
          <m:t>o</m:t>
        </m:r>
        <m:r>
          <m:t>l</m:t>
        </m:r>
        <m:r>
          <m:t>u</m:t>
        </m:r>
        <m:r>
          <m:t>t</m:t>
        </m:r>
        <m:r>
          <m:t>i</m:t>
        </m:r>
        <m:r>
          <m:t>o</m:t>
        </m:r>
        <m:r>
          <m:t>n</m:t>
        </m:r>
        <m:r>
          <m:t>s</m:t>
        </m:r>
        <m:r>
          <m:t>r</m:t>
        </m:r>
        <m:r>
          <m:t>e</m:t>
        </m:r>
        <m:r>
          <m:t>v</m:t>
        </m:r>
        <m:r>
          <m:t>e</m:t>
        </m:r>
        <m:r>
          <m:t>n</m:t>
        </m:r>
        <m:r>
          <m:t>u</m:t>
        </m:r>
        <m:r>
          <m:t>e</m:t>
        </m:r>
        <m:r>
          <m:rPr>
            <m:sty m:val="p"/>
          </m:rPr>
          <m:t>*</m:t>
        </m:r>
        <m:r>
          <m:rPr>
            <m:sty m:val="p"/>
          </m:rPr>
          <m:t>*</m:t>
        </m:r>
        <m:r>
          <m:t>i</m:t>
        </m:r>
        <m:r>
          <m:t>n</m:t>
        </m:r>
        <m:r>
          <m:t>1</m:t>
        </m:r>
        <m:r>
          <m:t>Q</m:t>
        </m:r>
        <m:r>
          <m:t>26</m:t>
        </m:r>
        <m:r>
          <m:rPr>
            <m:sty m:val="p"/>
          </m:rPr>
          <m:t>,</m:t>
        </m:r>
        <m:r>
          <m:t>u</m:t>
        </m:r>
        <m:r>
          <m:t>p</m:t>
        </m:r>
        <m:r>
          <m:rPr>
            <m:sty m:val="p"/>
          </m:rPr>
          <m:t>*</m:t>
        </m:r>
        <m:r>
          <m:rPr>
            <m:sty m:val="p"/>
          </m:rPr>
          <m:t>*</m:t>
        </m:r>
        <m:r>
          <m:t>14</m:t>
        </m:r>
      </m:oMath>
      <w:r>
        <w:rPr>
          <w:b/>
          <w:bCs/>
        </w:rPr>
        <w:t xml:space="preserve">3.188 billion</w:t>
      </w:r>
      <w:r>
        <w:t xml:space="preserve">, up</w:t>
      </w:r>
      <w:r>
        <w:t xml:space="preserve"> </w:t>
      </w:r>
      <w:r>
        <w:rPr>
          <w:b/>
          <w:bCs/>
        </w:rPr>
        <w:t xml:space="preserve">13% reported / 12% organic</w:t>
      </w:r>
      <w:r>
        <w:t xml:space="preserve">.</w:t>
      </w:r>
    </w:p>
    <w:p>
      <w:pPr>
        <w:pStyle w:val="BodyText"/>
      </w:pPr>
      <w:r>
        <w:t xml:space="preserve">The 2Q report should answer whether the company can keep compounding its subscription, data, software, and workflow franchises at a rate that supports its updated medium-term outlook:</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Key metric</w:t>
            </w:r>
          </w:p>
        </w:tc>
        <w:tc>
          <w:tcPr/>
          <w:p>
            <w:pPr>
              <w:pStyle w:val="Compact"/>
              <w:jc w:val="right"/>
            </w:pPr>
            <w:r>
              <w:t xml:space="preserve">1Q26 result</w:t>
            </w:r>
          </w:p>
        </w:tc>
        <w:tc>
          <w:tcPr/>
          <w:p>
            <w:pPr>
              <w:pStyle w:val="Compact"/>
            </w:pPr>
            <w:r>
              <w:t xml:space="preserve">Why it matters in 2Q</w:t>
            </w:r>
          </w:p>
        </w:tc>
      </w:tr>
      <w:tr>
        <w:tc>
          <w:tcPr/>
          <w:p>
            <w:pPr>
              <w:pStyle w:val="Compact"/>
            </w:pPr>
            <w:r>
              <w:t xml:space="preserve">Solutions revenue growth</w:t>
            </w:r>
          </w:p>
        </w:tc>
        <w:tc>
          <w:tcPr/>
          <w:p>
            <w:pPr>
              <w:pStyle w:val="Compact"/>
              <w:jc w:val="right"/>
            </w:pPr>
            <w:r>
              <w:t xml:space="preserve">14%</w:t>
            </w:r>
          </w:p>
        </w:tc>
        <w:tc>
          <w:tcPr/>
          <w:p>
            <w:pPr>
              <w:pStyle w:val="Compact"/>
            </w:pPr>
            <w:r>
              <w:t xml:space="preserve">Core measure of the less-cyclical business mix</w:t>
            </w:r>
          </w:p>
        </w:tc>
      </w:tr>
      <w:tr>
        <w:tc>
          <w:tcPr/>
          <w:p>
            <w:pPr>
              <w:pStyle w:val="Compact"/>
            </w:pPr>
            <w:r>
              <w:t xml:space="preserve">Total ARR growth</w:t>
            </w:r>
          </w:p>
        </w:tc>
        <w:tc>
          <w:tcPr/>
          <w:p>
            <w:pPr>
              <w:pStyle w:val="Compact"/>
              <w:jc w:val="right"/>
            </w:pPr>
            <w:r>
              <w:t xml:space="preserve">12% organic</w:t>
            </w:r>
          </w:p>
        </w:tc>
        <w:tc>
          <w:tcPr/>
          <w:p>
            <w:pPr>
              <w:pStyle w:val="Compact"/>
            </w:pPr>
            <w:r>
              <w:t xml:space="preserve">Forward indicator for recurring revenue durability</w:t>
            </w:r>
          </w:p>
        </w:tc>
      </w:tr>
      <w:tr>
        <w:tc>
          <w:tcPr/>
          <w:p>
            <w:pPr>
              <w:pStyle w:val="Compact"/>
            </w:pPr>
            <w:r>
              <w:t xml:space="preserve">FinTech ARR growth</w:t>
            </w:r>
          </w:p>
        </w:tc>
        <w:tc>
          <w:tcPr/>
          <w:p>
            <w:pPr>
              <w:pStyle w:val="Compact"/>
              <w:jc w:val="right"/>
            </w:pPr>
            <w:r>
              <w:t xml:space="preserve">16% organic</w:t>
            </w:r>
          </w:p>
        </w:tc>
        <w:tc>
          <w:tcPr/>
          <w:p>
            <w:pPr>
              <w:pStyle w:val="Compact"/>
            </w:pPr>
            <w:r>
              <w:t xml:space="preserve">Best measure of cloud/land-and-expand momentum</w:t>
            </w:r>
          </w:p>
        </w:tc>
      </w:tr>
      <w:tr>
        <w:tc>
          <w:tcPr/>
          <w:p>
            <w:pPr>
              <w:pStyle w:val="Compact"/>
            </w:pPr>
            <w:r>
              <w:t xml:space="preserve">Capital Access Platforms ARR growth</w:t>
            </w:r>
          </w:p>
        </w:tc>
        <w:tc>
          <w:tcPr/>
          <w:p>
            <w:pPr>
              <w:pStyle w:val="Compact"/>
              <w:jc w:val="right"/>
            </w:pPr>
            <w:r>
              <w:t xml:space="preserve">7% organic</w:t>
            </w:r>
          </w:p>
        </w:tc>
        <w:tc>
          <w:tcPr/>
          <w:p>
            <w:pPr>
              <w:pStyle w:val="Compact"/>
            </w:pPr>
            <w:r>
              <w:t xml:space="preserve">Tests data, workflow, listings, and index-adjacent execution</w:t>
            </w:r>
          </w:p>
        </w:tc>
      </w:tr>
    </w:tbl>
    <w:p>
      <w:pPr>
        <w:pStyle w:val="BodyText"/>
      </w:pPr>
      <w:r>
        <w:t xml:space="preserve">A meaningful deceleration in ARR would matter more than a modest quarterly revenue miss, particularly if it points to slower cloud implementation, longer enterprise sales cycles, or pressure in Corporate Solutions.</w:t>
      </w:r>
    </w:p>
    <w:p>
      <w:r>
        <w:pict>
          <v:rect style="width:0;height:1.5pt" o:hralign="center" o:hrstd="t" o:hr="t"/>
        </w:pict>
      </w:r>
    </w:p>
    <w:bookmarkEnd w:id="11"/>
    <w:bookmarkStart w:id="12" w:name="X8ab3963dc4697d021f2b2fd1a34d4bbdbf581c6"/>
    <w:p>
      <w:pPr>
        <w:pStyle w:val="Heading3"/>
      </w:pPr>
      <w:r>
        <w:t xml:space="preserve">3. Index: AUM, flows, and the broader distribution opportunity</w:t>
      </w:r>
    </w:p>
    <w:p>
      <w:pPr>
        <w:pStyle w:val="FirstParagraph"/>
      </w:pPr>
      <w:r>
        <w:t xml:space="preserve">Index revenue grew</w:t>
      </w:r>
      <w:r>
        <w:t xml:space="preserve"> </w:t>
      </w:r>
      <w:r>
        <w:rPr>
          <w:b/>
          <w:bCs/>
        </w:rPr>
        <w:t xml:space="preserve">14%</w:t>
      </w:r>
      <w:r>
        <w:t xml:space="preserve"> </w:t>
      </w:r>
      <w:r>
        <w:t xml:space="preserve">in 1Q26 to</w:t>
      </w:r>
      <w:r>
        <w:t xml:space="preserve"> </w:t>
      </w:r>
      <m:oMath>
        <m:r>
          <m:t>220</m:t>
        </m:r>
        <m:r>
          <m:t>m</m:t>
        </m:r>
        <m:r>
          <m:t>i</m:t>
        </m:r>
        <m:r>
          <m:t>l</m:t>
        </m:r>
        <m:r>
          <m:t>l</m:t>
        </m:r>
        <m:r>
          <m:t>i</m:t>
        </m:r>
        <m:r>
          <m:t>o</m:t>
        </m:r>
        <m:r>
          <m:t>n</m:t>
        </m:r>
        <m:r>
          <m:rPr>
            <m:sty m:val="p"/>
          </m:rPr>
          <m:t>*</m:t>
        </m:r>
        <m:r>
          <m:rPr>
            <m:sty m:val="p"/>
          </m:rPr>
          <m:t>*</m:t>
        </m:r>
        <m:r>
          <m:rPr>
            <m:sty m:val="p"/>
          </m:rPr>
          <m:t>,</m:t>
        </m:r>
        <m:r>
          <m:t>s</m:t>
        </m:r>
        <m:r>
          <m:t>u</m:t>
        </m:r>
        <m:r>
          <m:t>p</m:t>
        </m:r>
        <m:r>
          <m:t>p</m:t>
        </m:r>
        <m:r>
          <m:t>o</m:t>
        </m:r>
        <m:r>
          <m:t>r</m:t>
        </m:r>
        <m:r>
          <m:t>t</m:t>
        </m:r>
        <m:r>
          <m:t>e</m:t>
        </m:r>
        <m:r>
          <m:t>d</m:t>
        </m:r>
        <m:r>
          <m:t>b</m:t>
        </m:r>
        <m:r>
          <m:t>y</m:t>
        </m:r>
        <m:r>
          <m:t>r</m:t>
        </m:r>
        <m:r>
          <m:t>e</m:t>
        </m:r>
        <m:r>
          <m:t>c</m:t>
        </m:r>
        <m:r>
          <m:t>o</m:t>
        </m:r>
        <m:r>
          <m:t>r</m:t>
        </m:r>
        <m:r>
          <m:t>d</m:t>
        </m:r>
        <m:r>
          <m:t>a</m:t>
        </m:r>
        <m:r>
          <m:t>v</m:t>
        </m:r>
        <m:r>
          <m:t>e</m:t>
        </m:r>
        <m:r>
          <m:t>r</m:t>
        </m:r>
        <m:r>
          <m:t>a</m:t>
        </m:r>
        <m:r>
          <m:t>g</m:t>
        </m:r>
        <m:r>
          <m:t>e</m:t>
        </m:r>
        <m:r>
          <m:t>E</m:t>
        </m:r>
        <m:r>
          <m:t>T</m:t>
        </m:r>
        <m:r>
          <m:t>P</m:t>
        </m:r>
        <m:r>
          <m:t>A</m:t>
        </m:r>
        <m:r>
          <m:t>U</m:t>
        </m:r>
        <m:r>
          <m:t>M</m:t>
        </m:r>
        <m:r>
          <m:t>o</m:t>
        </m:r>
        <m:r>
          <m:t>f</m:t>
        </m:r>
        <m:r>
          <m:rPr>
            <m:sty m:val="p"/>
          </m:rPr>
          <m:t>*</m:t>
        </m:r>
        <m:r>
          <m:rPr>
            <m:sty m:val="p"/>
          </m:rPr>
          <m:t>*</m:t>
        </m:r>
      </m:oMath>
      <w:r>
        <w:rPr>
          <w:b/>
          <w:bCs/>
        </w:rPr>
        <w:t xml:space="preserve">877 billion</w:t>
      </w:r>
      <w:r>
        <w:t xml:space="preserve">. Net inflows were only</w:t>
      </w:r>
      <w:r>
        <w:t xml:space="preserve"> </w:t>
      </w:r>
      <m:oMath>
        <m:r>
          <m:t>6</m:t>
        </m:r>
        <m:r>
          <m:t>b</m:t>
        </m:r>
        <m:r>
          <m:t>i</m:t>
        </m:r>
        <m:r>
          <m:t>l</m:t>
        </m:r>
        <m:r>
          <m:t>l</m:t>
        </m:r>
        <m:r>
          <m:t>i</m:t>
        </m:r>
        <m:r>
          <m:t>o</m:t>
        </m:r>
        <m:r>
          <m:t>n</m:t>
        </m:r>
        <m:r>
          <m:rPr>
            <m:sty m:val="p"/>
          </m:rPr>
          <m:t>*</m:t>
        </m:r>
        <m:r>
          <m:rPr>
            <m:sty m:val="p"/>
          </m:rPr>
          <m:t>*</m:t>
        </m:r>
        <m:r>
          <m:t>i</m:t>
        </m:r>
        <m:r>
          <m:t>n</m:t>
        </m:r>
        <m:r>
          <m:t>1</m:t>
        </m:r>
        <m:r>
          <m:t>Q</m:t>
        </m:r>
        <m:r>
          <m:rPr>
            <m:sty m:val="p"/>
          </m:rPr>
          <m:t>,</m:t>
        </m:r>
        <m:r>
          <m:t>b</m:t>
        </m:r>
        <m:r>
          <m:t>u</m:t>
        </m:r>
        <m:r>
          <m:t>t</m:t>
        </m:r>
        <m:r>
          <m:t>m</m:t>
        </m:r>
        <m:r>
          <m:t>a</m:t>
        </m:r>
        <m:r>
          <m:t>n</m:t>
        </m:r>
        <m:r>
          <m:t>a</m:t>
        </m:r>
        <m:r>
          <m:t>g</m:t>
        </m:r>
        <m:r>
          <m:t>e</m:t>
        </m:r>
        <m:r>
          <m:t>m</m:t>
        </m:r>
        <m:r>
          <m:t>e</m:t>
        </m:r>
        <m:r>
          <m:t>n</m:t>
        </m:r>
        <m:r>
          <m:t>t</m:t>
        </m:r>
        <m:r>
          <m:t>s</m:t>
        </m:r>
        <m:r>
          <m:t>a</m:t>
        </m:r>
        <m:r>
          <m:t>i</m:t>
        </m:r>
        <m:r>
          <m:t>d</m:t>
        </m:r>
        <m:r>
          <m:t>t</m:t>
        </m:r>
        <m:r>
          <m:t>h</m:t>
        </m:r>
        <m:r>
          <m:t>a</m:t>
        </m:r>
        <m:r>
          <m:t>t</m:t>
        </m:r>
        <m:r>
          <m:t>f</m:t>
        </m:r>
        <m:r>
          <m:t>l</m:t>
        </m:r>
        <m:r>
          <m:t>o</m:t>
        </m:r>
        <m:r>
          <m:t>w</m:t>
        </m:r>
        <m:r>
          <m:t>s</m:t>
        </m:r>
        <m:r>
          <m:t>h</m:t>
        </m:r>
        <m:r>
          <m:t>a</m:t>
        </m:r>
        <m:r>
          <m:t>d</m:t>
        </m:r>
        <m:r>
          <m:t>i</m:t>
        </m:r>
        <m:r>
          <m:t>m</m:t>
        </m:r>
        <m:r>
          <m:t>p</m:t>
        </m:r>
        <m:r>
          <m:t>r</m:t>
        </m:r>
        <m:r>
          <m:t>o</m:t>
        </m:r>
        <m:r>
          <m:t>v</m:t>
        </m:r>
        <m:r>
          <m:t>e</m:t>
        </m:r>
        <m:r>
          <m:t>d</m:t>
        </m:r>
        <m:r>
          <m:t>t</m:t>
        </m:r>
        <m:r>
          <m:t>o</m:t>
        </m:r>
        <m:r>
          <m:rPr>
            <m:sty m:val="p"/>
          </m:rPr>
          <m:t>*</m:t>
        </m:r>
        <m:r>
          <m:rPr>
            <m:sty m:val="p"/>
          </m:rPr>
          <m:t>*</m:t>
        </m:r>
      </m:oMath>
      <w:r>
        <w:rPr>
          <w:b/>
          <w:bCs/>
        </w:rPr>
        <w:t xml:space="preserve">15 billion through April 20</w:t>
      </w:r>
      <w:r>
        <w:t xml:space="preserve">, suggesting a potentially better 2Q setup.</w:t>
      </w:r>
    </w:p>
    <w:p>
      <w:pPr>
        <w:pStyle w:val="BodyText"/>
      </w:pPr>
      <w:r>
        <w:t xml:space="preserve">Key items to watch:</w:t>
      </w:r>
    </w:p>
    <w:p>
      <w:pPr>
        <w:pStyle w:val="Compact"/>
        <w:numPr>
          <w:ilvl w:val="0"/>
          <w:numId w:val="1003"/>
        </w:numPr>
      </w:pPr>
      <w:r>
        <w:rPr>
          <w:b/>
          <w:bCs/>
        </w:rPr>
        <w:t xml:space="preserve">Average and period-end ETP AUM</w:t>
      </w:r>
      <w:r>
        <w:t xml:space="preserve">, which drive asset-based licensing revenue.</w:t>
      </w:r>
    </w:p>
    <w:p>
      <w:pPr>
        <w:pStyle w:val="Compact"/>
        <w:numPr>
          <w:ilvl w:val="0"/>
          <w:numId w:val="1003"/>
        </w:numPr>
      </w:pPr>
      <w:r>
        <w:rPr>
          <w:b/>
          <w:bCs/>
        </w:rPr>
        <w:t xml:space="preserve">Net inflows</w:t>
      </w:r>
      <w:r>
        <w:t xml:space="preserve">, especially whether April’s favorable early-quarter trend persisted.</w:t>
      </w:r>
    </w:p>
    <w:p>
      <w:pPr>
        <w:pStyle w:val="Compact"/>
        <w:numPr>
          <w:ilvl w:val="0"/>
          <w:numId w:val="1003"/>
        </w:numPr>
      </w:pPr>
      <w:r>
        <w:rPr>
          <w:b/>
          <w:bCs/>
        </w:rPr>
        <w:t xml:space="preserve">Nasdaq-100 distribution.</w:t>
      </w:r>
      <w:r>
        <w:t xml:space="preserve"> </w:t>
      </w:r>
      <w:r>
        <w:t xml:space="preserve">The expansion of ETF relationships with BlackRock and State Street is strategically important. The new products use licensing terms consistent with QQQ, so the investment case is distribution expansion rather than price concession.</w:t>
      </w:r>
    </w:p>
    <w:p>
      <w:pPr>
        <w:pStyle w:val="Compact"/>
        <w:numPr>
          <w:ilvl w:val="0"/>
          <w:numId w:val="1003"/>
        </w:numPr>
      </w:pPr>
      <w:r>
        <w:rPr>
          <w:b/>
          <w:bCs/>
        </w:rPr>
        <w:t xml:space="preserve">Derivative licensing mix.</w:t>
      </w:r>
      <w:r>
        <w:t xml:space="preserve"> </w:t>
      </w:r>
      <w:r>
        <w:t xml:space="preserve">In 1Q, strong futures volumes were partly offset by a mix shift toward lower-capture micro contracts. Investors will want to know whether that mix issue continued.</w:t>
      </w:r>
    </w:p>
    <w:p>
      <w:pPr>
        <w:pStyle w:val="FirstParagraph"/>
      </w:pPr>
      <w:r>
        <w:t xml:space="preserve">Index is one of Nasdaq’s best long-term assets, but its quarterly revenue can be influenced by market levels, flows, and futures-volume mix. A strong print would likely feature both healthy AUM and indications that broadened distribution is expanding institutional adoption.</w:t>
      </w:r>
    </w:p>
    <w:p>
      <w:r>
        <w:pict>
          <v:rect style="width:0;height:1.5pt" o:hralign="center" o:hrstd="t" o:hr="t"/>
        </w:pict>
      </w:r>
    </w:p>
    <w:bookmarkEnd w:id="12"/>
    <w:bookmarkStart w:id="13" w:name="X48ff5cc625baf360a4c1870269e0cb2ab61e00e"/>
    <w:p>
      <w:pPr>
        <w:pStyle w:val="Heading3"/>
      </w:pPr>
      <w:r>
        <w:t xml:space="preserve">4. Market Services: strong beta, but market share and capture determine quality</w:t>
      </w:r>
    </w:p>
    <w:p>
      <w:pPr>
        <w:pStyle w:val="FirstParagraph"/>
      </w:pPr>
      <w:r>
        <w:t xml:space="preserve">Market Services generated record 1Q net revenue of</w:t>
      </w:r>
      <w:r>
        <w:t xml:space="preserve"> </w:t>
      </w:r>
      <w:r>
        <w:rPr>
          <w:b/>
          <w:bCs/>
        </w:rPr>
        <w:t xml:space="preserve">$317 million</w:t>
      </w:r>
      <w:r>
        <w:t xml:space="preserve">, up</w:t>
      </w:r>
      <w:r>
        <w:t xml:space="preserve"> </w:t>
      </w:r>
      <w:r>
        <w:rPr>
          <w:b/>
          <w:bCs/>
        </w:rPr>
        <w:t xml:space="preserve">13% reported / 10% organic</w:t>
      </w:r>
      <w:r>
        <w:t xml:space="preserve">. The result benefited from record U.S. cash-equity and options volumes, higher European activity, and index-options growth.</w:t>
      </w:r>
    </w:p>
    <w:p>
      <w:pPr>
        <w:pStyle w:val="BodyText"/>
      </w:pPr>
      <w:r>
        <w:t xml:space="preserve">For 2Q, the debate is not simply whether volumes stayed elevated. It is whether Nasdaq preserved its economics:</w:t>
      </w:r>
    </w:p>
    <w:p>
      <w:pPr>
        <w:pStyle w:val="Compact"/>
        <w:numPr>
          <w:ilvl w:val="0"/>
          <w:numId w:val="1004"/>
        </w:numPr>
      </w:pPr>
      <w:r>
        <w:rPr>
          <w:b/>
          <w:bCs/>
        </w:rPr>
        <w:t xml:space="preserve">U.S. cash-equity and options volumes</w:t>
      </w:r>
    </w:p>
    <w:p>
      <w:pPr>
        <w:pStyle w:val="Compact"/>
        <w:numPr>
          <w:ilvl w:val="0"/>
          <w:numId w:val="1004"/>
        </w:numPr>
      </w:pPr>
      <w:r>
        <w:rPr>
          <w:b/>
          <w:bCs/>
        </w:rPr>
        <w:t xml:space="preserve">Market share</w:t>
      </w:r>
    </w:p>
    <w:p>
      <w:pPr>
        <w:pStyle w:val="Compact"/>
        <w:numPr>
          <w:ilvl w:val="0"/>
          <w:numId w:val="1004"/>
        </w:numPr>
      </w:pPr>
      <w:r>
        <w:rPr>
          <w:b/>
          <w:bCs/>
        </w:rPr>
        <w:t xml:space="preserve">Revenue capture</w:t>
      </w:r>
      <w:r>
        <w:t xml:space="preserve">, especially given the tendency for very high activity to bring more lower-capture order flow</w:t>
      </w:r>
    </w:p>
    <w:p>
      <w:pPr>
        <w:pStyle w:val="Compact"/>
        <w:numPr>
          <w:ilvl w:val="0"/>
          <w:numId w:val="1004"/>
        </w:numPr>
      </w:pPr>
      <w:r>
        <w:rPr>
          <w:b/>
          <w:bCs/>
        </w:rPr>
        <w:t xml:space="preserve">Index options revenue</w:t>
      </w:r>
      <w:r>
        <w:t xml:space="preserve">, a strategically attractive product category</w:t>
      </w:r>
    </w:p>
    <w:p>
      <w:pPr>
        <w:pStyle w:val="Compact"/>
        <w:numPr>
          <w:ilvl w:val="0"/>
          <w:numId w:val="1004"/>
        </w:numPr>
      </w:pPr>
      <w:r>
        <w:rPr>
          <w:b/>
          <w:bCs/>
        </w:rPr>
        <w:t xml:space="preserve">European trading trends</w:t>
      </w:r>
      <w:r>
        <w:t xml:space="preserve">, including cash equities and derivatives</w:t>
      </w:r>
    </w:p>
    <w:p>
      <w:pPr>
        <w:pStyle w:val="FirstParagraph"/>
      </w:pPr>
      <w:r>
        <w:t xml:space="preserve">The 2Q25 comparison is demanding: Market Services net revenue was</w:t>
      </w:r>
      <w:r>
        <w:t xml:space="preserve"> </w:t>
      </w:r>
      <w:r>
        <w:rPr>
          <w:b/>
          <w:bCs/>
        </w:rPr>
        <w:t xml:space="preserve">$306 million</w:t>
      </w:r>
      <w:r>
        <w:t xml:space="preserve">, up</w:t>
      </w:r>
      <w:r>
        <w:t xml:space="preserve"> </w:t>
      </w:r>
      <w:r>
        <w:rPr>
          <w:b/>
          <w:bCs/>
        </w:rPr>
        <w:t xml:space="preserve">21% organically</w:t>
      </w:r>
      <w:r>
        <w:t xml:space="preserve"> </w:t>
      </w:r>
      <w:r>
        <w:t xml:space="preserve">at the time. As a result, even another good quarter may produce a more modest growth rate.</w:t>
      </w:r>
    </w:p>
    <w:p>
      <w:r>
        <w:pict>
          <v:rect style="width:0;height:1.5pt" o:hralign="center" o:hrstd="t" o:hr="t"/>
        </w:pict>
      </w:r>
    </w:p>
    <w:bookmarkEnd w:id="13"/>
    <w:bookmarkStart w:id="14" w:name="X9d237f201bad80ae24838702a5c4c8a4d4f5f02"/>
    <w:p>
      <w:pPr>
        <w:pStyle w:val="Heading3"/>
      </w:pPr>
      <w:r>
        <w:t xml:space="preserve">5. Expenses, margins, and guidance: the likely swing factor after a strong 1Q</w:t>
      </w:r>
    </w:p>
    <w:p>
      <w:pPr>
        <w:pStyle w:val="FirstParagraph"/>
      </w:pPr>
      <w:r>
        <w:t xml:space="preserve">Nasdaq produced a</w:t>
      </w:r>
      <w:r>
        <w:t xml:space="preserve"> </w:t>
      </w:r>
      <w:r>
        <w:rPr>
          <w:b/>
          <w:bCs/>
        </w:rPr>
        <w:t xml:space="preserve">57% non-GAAP operating margin</w:t>
      </w:r>
      <w:r>
        <w:t xml:space="preserve"> </w:t>
      </w:r>
      <w:r>
        <w:t xml:space="preserve">in 1Q26, up two percentage points year over year, as non-GAAP operating income grew 17%.</w:t>
      </w:r>
    </w:p>
    <w:p>
      <w:pPr>
        <w:pStyle w:val="BodyText"/>
      </w:pPr>
      <w:r>
        <w:t xml:space="preserve">However, management explicitly stated that</w:t>
      </w:r>
      <w:r>
        <w:t xml:space="preserve"> </w:t>
      </w:r>
      <w:r>
        <w:rPr>
          <w:b/>
          <w:bCs/>
        </w:rPr>
        <w:t xml:space="preserve">2Q expense growth should be higher than 1Q</w:t>
      </w:r>
      <w:r>
        <w:t xml:space="preserve">, partly due to the timing of its annual compensation cycle. Its full-year 2026 non-GAAP operating-expense guidance is</w:t>
      </w:r>
      <w:r>
        <w:t xml:space="preserve"> </w:t>
      </w:r>
      <w:r>
        <w:rPr>
          <w:b/>
          <w:bCs/>
        </w:rPr>
        <w:t xml:space="preserve">$2.485 billion to $2.545 billion</w:t>
      </w:r>
      <w:r>
        <w:t xml:space="preserve">, while the non-GAAP tax-rate guide remains</w:t>
      </w:r>
      <w:r>
        <w:t xml:space="preserve"> </w:t>
      </w:r>
      <w:r>
        <w:rPr>
          <w:b/>
          <w:bCs/>
        </w:rPr>
        <w:t xml:space="preserve">22.5% to 24.5%</w:t>
      </w:r>
      <w:r>
        <w:t xml:space="preserve">.</w:t>
      </w:r>
    </w:p>
    <w:p>
      <w:pPr>
        <w:pStyle w:val="BodyText"/>
      </w:pPr>
      <w:r>
        <w:t xml:space="preserve">The key questions:</w:t>
      </w:r>
    </w:p>
    <w:p>
      <w:pPr>
        <w:pStyle w:val="Compact"/>
        <w:numPr>
          <w:ilvl w:val="0"/>
          <w:numId w:val="1005"/>
        </w:numPr>
      </w:pPr>
      <w:r>
        <w:t xml:space="preserve">Does management maintain the expense range?</w:t>
      </w:r>
    </w:p>
    <w:p>
      <w:pPr>
        <w:pStyle w:val="Compact"/>
        <w:numPr>
          <w:ilvl w:val="0"/>
          <w:numId w:val="1005"/>
        </w:numPr>
      </w:pPr>
      <w:r>
        <w:t xml:space="preserve">If it raises expenses, is that due to revenue-linked compensation and growth investment—or a more concerning cost pressure?</w:t>
      </w:r>
    </w:p>
    <w:p>
      <w:pPr>
        <w:pStyle w:val="Compact"/>
        <w:numPr>
          <w:ilvl w:val="0"/>
          <w:numId w:val="1005"/>
        </w:numPr>
      </w:pPr>
      <w:r>
        <w:t xml:space="preserve">Can operating margin remain resilient despite the anticipated 2Q expense step-up?</w:t>
      </w:r>
    </w:p>
    <w:p>
      <w:pPr>
        <w:pStyle w:val="Compact"/>
        <w:numPr>
          <w:ilvl w:val="0"/>
          <w:numId w:val="1005"/>
        </w:numPr>
      </w:pPr>
      <w:r>
        <w:t xml:space="preserve">Is there any change in the timing or magnitude of AI-related efficiencies?</w:t>
      </w:r>
    </w:p>
    <w:p>
      <w:pPr>
        <w:pStyle w:val="FirstParagraph"/>
      </w:pPr>
      <w:r>
        <w:t xml:space="preserve">At its February Investor Day, Nasdaq outlined a goal of</w:t>
      </w:r>
      <w:r>
        <w:t xml:space="preserve"> </w:t>
      </w:r>
      <w:r>
        <w:rPr>
          <w:b/>
          <w:bCs/>
        </w:rPr>
        <w:t xml:space="preserve">$100 million of run-rate AI productivity efficiencies by year-end 2027</w:t>
      </w:r>
      <w:r>
        <w:t xml:space="preserve">, with the majority of the benefit expected in 2027. Therefore, investors should not expect AI savings to fully offset near-term investment and compensation costs in 2Q26.</w:t>
      </w:r>
    </w:p>
    <w:p>
      <w:r>
        <w:pict>
          <v:rect style="width:0;height:1.5pt" o:hralign="center" o:hrstd="t" o:hr="t"/>
        </w:pict>
      </w:r>
    </w:p>
    <w:bookmarkEnd w:id="14"/>
    <w:bookmarkEnd w:id="15"/>
    <w:bookmarkStart w:id="16" w:name="Xb7536788526d1bb2d200163e97f25bdad01ec1e"/>
    <w:p>
      <w:pPr>
        <w:pStyle w:val="Heading2"/>
      </w:pPr>
      <w:r>
        <w:t xml:space="preserve">Quarterly baseline and likely comparison points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2Q25 actual</w:t>
            </w:r>
          </w:p>
        </w:tc>
        <w:tc>
          <w:tcPr/>
          <w:p>
            <w:pPr>
              <w:pStyle w:val="Compact"/>
              <w:jc w:val="right"/>
            </w:pPr>
            <w:r>
              <w:t xml:space="preserve">1Q26 actual</w:t>
            </w:r>
          </w:p>
        </w:tc>
        <w:tc>
          <w:tcPr/>
          <w:p>
            <w:pPr>
              <w:pStyle w:val="Compact"/>
            </w:pPr>
            <w:r>
              <w:t xml:space="preserve">2Q26 watch item</w:t>
            </w:r>
          </w:p>
        </w:tc>
      </w:tr>
      <w:tr>
        <w:tc>
          <w:tcPr/>
          <w:p>
            <w:pPr>
              <w:pStyle w:val="Compact"/>
            </w:pPr>
            <w:r>
              <w:t xml:space="preserve">Net revenue</w:t>
            </w:r>
          </w:p>
        </w:tc>
        <w:tc>
          <w:tcPr/>
          <w:p>
            <w:pPr>
              <w:pStyle w:val="Compact"/>
              <w:jc w:val="right"/>
            </w:pPr>
            <w:r>
              <w:t xml:space="preserve">$1.306B</w:t>
            </w:r>
          </w:p>
        </w:tc>
        <w:tc>
          <w:tcPr/>
          <w:p>
            <w:pPr>
              <w:pStyle w:val="Compact"/>
              <w:jc w:val="right"/>
            </w:pPr>
            <w:r>
              <w:t xml:space="preserve">$1.407B</w:t>
            </w:r>
          </w:p>
        </w:tc>
        <w:tc>
          <w:tcPr/>
          <w:p>
            <w:pPr>
              <w:pStyle w:val="Compact"/>
            </w:pPr>
            <w:r>
              <w:t xml:space="preserve">Ability to sustain double-digit growth</w:t>
            </w:r>
          </w:p>
        </w:tc>
      </w:tr>
      <w:tr>
        <w:tc>
          <w:tcPr/>
          <w:p>
            <w:pPr>
              <w:pStyle w:val="Compact"/>
            </w:pPr>
            <w:r>
              <w:t xml:space="preserve">Solutions revenue</w:t>
            </w:r>
          </w:p>
        </w:tc>
        <w:tc>
          <w:tcPr/>
          <w:p>
            <w:pPr>
              <w:pStyle w:val="Compact"/>
              <w:jc w:val="right"/>
            </w:pPr>
            <w:r>
              <w:t xml:space="preserve">$991M</w:t>
            </w:r>
          </w:p>
        </w:tc>
        <w:tc>
          <w:tcPr/>
          <w:p>
            <w:pPr>
              <w:pStyle w:val="Compact"/>
              <w:jc w:val="right"/>
            </w:pPr>
            <w:r>
              <w:t xml:space="preserve">$1.082B</w:t>
            </w:r>
          </w:p>
        </w:tc>
        <w:tc>
          <w:tcPr/>
          <w:p>
            <w:pPr>
              <w:pStyle w:val="Compact"/>
            </w:pPr>
            <w:r>
              <w:t xml:space="preserve">Recurring-growth durability</w:t>
            </w:r>
          </w:p>
        </w:tc>
      </w:tr>
      <w:tr>
        <w:tc>
          <w:tcPr/>
          <w:p>
            <w:pPr>
              <w:pStyle w:val="Compact"/>
            </w:pPr>
            <w:r>
              <w:t xml:space="preserve">Financial Technology revenue</w:t>
            </w:r>
          </w:p>
        </w:tc>
        <w:tc>
          <w:tcPr/>
          <w:p>
            <w:pPr>
              <w:pStyle w:val="Compact"/>
              <w:jc w:val="right"/>
            </w:pPr>
            <w:r>
              <w:t xml:space="preserve">$464M</w:t>
            </w:r>
          </w:p>
        </w:tc>
        <w:tc>
          <w:tcPr/>
          <w:p>
            <w:pPr>
              <w:pStyle w:val="Compact"/>
              <w:jc w:val="right"/>
            </w:pPr>
            <w:r>
              <w:t xml:space="preserve">$517M</w:t>
            </w:r>
          </w:p>
        </w:tc>
        <w:tc>
          <w:tcPr/>
          <w:p>
            <w:pPr>
              <w:pStyle w:val="Compact"/>
            </w:pPr>
            <w:r>
              <w:t xml:space="preserve">High-teens organic growth and bookings quality</w:t>
            </w:r>
          </w:p>
        </w:tc>
      </w:tr>
      <w:tr>
        <w:tc>
          <w:tcPr/>
          <w:p>
            <w:pPr>
              <w:pStyle w:val="Compact"/>
            </w:pPr>
            <w:r>
              <w:t xml:space="preserve">Market Services, net</w:t>
            </w:r>
          </w:p>
        </w:tc>
        <w:tc>
          <w:tcPr/>
          <w:p>
            <w:pPr>
              <w:pStyle w:val="Compact"/>
              <w:jc w:val="right"/>
            </w:pPr>
            <w:r>
              <w:t xml:space="preserve">$306M</w:t>
            </w:r>
          </w:p>
        </w:tc>
        <w:tc>
          <w:tcPr/>
          <w:p>
            <w:pPr>
              <w:pStyle w:val="Compact"/>
              <w:jc w:val="right"/>
            </w:pPr>
            <w:r>
              <w:t xml:space="preserve">$317M</w:t>
            </w:r>
          </w:p>
        </w:tc>
        <w:tc>
          <w:tcPr/>
          <w:p>
            <w:pPr>
              <w:pStyle w:val="Compact"/>
            </w:pPr>
            <w:r>
              <w:t xml:space="preserve">Volumes, capture, and share</w:t>
            </w:r>
          </w:p>
        </w:tc>
      </w:tr>
      <w:tr>
        <w:tc>
          <w:tcPr/>
          <w:p>
            <w:pPr>
              <w:pStyle w:val="Compact"/>
            </w:pPr>
            <w:r>
              <w:t xml:space="preserve">Index revenue</w:t>
            </w:r>
          </w:p>
        </w:tc>
        <w:tc>
          <w:tcPr/>
          <w:p>
            <w:pPr>
              <w:pStyle w:val="Compact"/>
              <w:jc w:val="right"/>
            </w:pPr>
            <w:r>
              <w:t xml:space="preserve">$196M</w:t>
            </w:r>
          </w:p>
        </w:tc>
        <w:tc>
          <w:tcPr/>
          <w:p>
            <w:pPr>
              <w:pStyle w:val="Compact"/>
              <w:jc w:val="right"/>
            </w:pPr>
            <w:r>
              <w:t xml:space="preserve">$220M</w:t>
            </w:r>
          </w:p>
        </w:tc>
        <w:tc>
          <w:tcPr/>
          <w:p>
            <w:pPr>
              <w:pStyle w:val="Compact"/>
            </w:pPr>
            <w:r>
              <w:t xml:space="preserve">AUM, flows, and derivatives mix</w:t>
            </w:r>
          </w:p>
        </w:tc>
      </w:tr>
      <w:tr>
        <w:tc>
          <w:tcPr/>
          <w:p>
            <w:pPr>
              <w:pStyle w:val="Compact"/>
            </w:pPr>
            <w:r>
              <w:t xml:space="preserve">Non-GAAP EPS</w:t>
            </w:r>
          </w:p>
        </w:tc>
        <w:tc>
          <w:tcPr/>
          <w:p>
            <w:pPr>
              <w:pStyle w:val="Compact"/>
              <w:jc w:val="right"/>
            </w:pPr>
            <w:r>
              <w:t xml:space="preserve">$0.85</w:t>
            </w:r>
          </w:p>
        </w:tc>
        <w:tc>
          <w:tcPr/>
          <w:p>
            <w:pPr>
              <w:pStyle w:val="Compact"/>
              <w:jc w:val="right"/>
            </w:pPr>
            <w:r>
              <w:t xml:space="preserve">$0.96</w:t>
            </w:r>
          </w:p>
        </w:tc>
        <w:tc>
          <w:tcPr/>
          <w:p>
            <w:pPr>
              <w:pStyle w:val="Compact"/>
            </w:pPr>
            <w:r>
              <w:t xml:space="preserve">Revenue conversion after higher 2Q expenses</w:t>
            </w:r>
          </w:p>
        </w:tc>
      </w:tr>
      <w:tr>
        <w:tc>
          <w:tcPr/>
          <w:p>
            <w:pPr>
              <w:pStyle w:val="Compact"/>
            </w:pPr>
            <w:r>
              <w:t xml:space="preserve">Non-GAAP operating margin</w:t>
            </w:r>
          </w:p>
        </w:tc>
        <w:tc>
          <w:tcPr/>
          <w:p>
            <w:pPr>
              <w:pStyle w:val="Compact"/>
              <w:jc w:val="right"/>
            </w:pPr>
            <w:r>
              <w:t xml:space="preserve">55%</w:t>
            </w:r>
          </w:p>
        </w:tc>
        <w:tc>
          <w:tcPr/>
          <w:p>
            <w:pPr>
              <w:pStyle w:val="Compact"/>
              <w:jc w:val="right"/>
            </w:pPr>
            <w:r>
              <w:t xml:space="preserve">57%</w:t>
            </w:r>
          </w:p>
        </w:tc>
        <w:tc>
          <w:tcPr/>
          <w:p>
            <w:pPr>
              <w:pStyle w:val="Compact"/>
            </w:pPr>
            <w:r>
              <w:t xml:space="preserve">Operating-leverage durability</w:t>
            </w:r>
          </w:p>
        </w:tc>
      </w:tr>
    </w:tbl>
    <w:p>
      <w:pPr>
        <w:pStyle w:val="BodyText"/>
      </w:pPr>
      <w:r>
        <w:rPr>
          <w:i/>
          <w:iCs/>
        </w:rPr>
        <w:t xml:space="preserve">Note: No consensus estimate is included here because no independently sourced current consensus was available in the research materials.</w:t>
      </w:r>
    </w:p>
    <w:p>
      <w:r>
        <w:pict>
          <v:rect style="width:0;height:1.5pt" o:hralign="center" o:hrstd="t" o:hr="t"/>
        </w:pict>
      </w:r>
    </w:p>
    <w:bookmarkEnd w:id="16"/>
    <w:bookmarkStart w:id="17" w:name="stock-setup"/>
    <w:p>
      <w:pPr>
        <w:pStyle w:val="Heading2"/>
      </w:pPr>
      <w:r>
        <w:t xml:space="preserve">Stock setup</w:t>
      </w:r>
    </w:p>
    <w:p>
      <w:pPr>
        <w:pStyle w:val="FirstParagraph"/>
      </w:pPr>
      <w:r>
        <w:t xml:space="preserve">NDAQ closed at</w:t>
      </w:r>
      <w:r>
        <w:t xml:space="preserve"> </w:t>
      </w:r>
      <w:r>
        <w:rPr>
          <w:b/>
          <w:bCs/>
        </w:rPr>
        <w:t xml:space="preserve">$90.92 on July 22, 2026</w:t>
      </w:r>
      <w:r>
        <w:t xml:space="preserve">. The shares have recovered from a late-June low near</w:t>
      </w:r>
      <w:r>
        <w:t xml:space="preserve"> </w:t>
      </w:r>
      <m:oMath>
        <m:r>
          <m:t>76.85</m:t>
        </m:r>
        <m:r>
          <m:rPr>
            <m:sty m:val="p"/>
          </m:rPr>
          <m:t>,</m:t>
        </m:r>
        <m:r>
          <m:t>b</m:t>
        </m:r>
        <m:r>
          <m:t>u</m:t>
        </m:r>
        <m:r>
          <m:t>t</m:t>
        </m:r>
        <m:r>
          <m:t>r</m:t>
        </m:r>
        <m:r>
          <m:t>e</m:t>
        </m:r>
        <m:r>
          <m:t>m</m:t>
        </m:r>
        <m:r>
          <m:t>a</m:t>
        </m:r>
        <m:r>
          <m:t>i</m:t>
        </m:r>
        <m:r>
          <m:t>n</m:t>
        </m:r>
        <m:r>
          <m:t>b</m:t>
        </m:r>
        <m:r>
          <m:t>e</m:t>
        </m:r>
        <m:r>
          <m:t>l</m:t>
        </m:r>
        <m:r>
          <m:t>o</m:t>
        </m:r>
        <m:r>
          <m:t>w</m:t>
        </m:r>
        <m:r>
          <m:t>t</m:t>
        </m:r>
        <m:r>
          <m:t>h</m:t>
        </m:r>
        <m:r>
          <m:t>e</m:t>
        </m:r>
        <m:r>
          <m:rPr>
            <m:sty m:val="p"/>
          </m:rPr>
          <m:t>*</m:t>
        </m:r>
        <m:r>
          <m:rPr>
            <m:sty m:val="p"/>
          </m:rPr>
          <m:t>*</m:t>
        </m:r>
      </m:oMath>
      <w:r>
        <w:t xml:space="preserve">96.66** close on January 2, 2026. That suggests the market has regained some confidence heading into earnings but may still be looking for confirmation on growth durability, margins, and the value of Nasdaq’s AI/always-on-market initiatives.</w:t>
      </w:r>
    </w:p>
    <w:p>
      <w:pPr>
        <w:pStyle w:val="BodyText"/>
      </w:pPr>
      <w:r>
        <w:t xml:space="preserve">The report is likely to be judged on the</w:t>
      </w:r>
      <w:r>
        <w:t xml:space="preserve"> </w:t>
      </w:r>
      <w:r>
        <w:rPr>
          <w:b/>
          <w:bCs/>
        </w:rPr>
        <w:t xml:space="preserve">combination</w:t>
      </w:r>
      <w:r>
        <w:t xml:space="preserve"> </w:t>
      </w:r>
      <w:r>
        <w:t xml:space="preserve">of:</w:t>
      </w:r>
    </w:p>
    <w:p>
      <w:pPr>
        <w:pStyle w:val="Compact"/>
        <w:numPr>
          <w:ilvl w:val="0"/>
          <w:numId w:val="1006"/>
        </w:numPr>
      </w:pPr>
      <w:r>
        <w:t xml:space="preserve">FinTech growth and ARR;</w:t>
      </w:r>
    </w:p>
    <w:p>
      <w:pPr>
        <w:pStyle w:val="Compact"/>
        <w:numPr>
          <w:ilvl w:val="0"/>
          <w:numId w:val="1006"/>
        </w:numPr>
      </w:pPr>
      <w:r>
        <w:t xml:space="preserve">Index AUM/flows;</w:t>
      </w:r>
    </w:p>
    <w:p>
      <w:pPr>
        <w:pStyle w:val="Compact"/>
        <w:numPr>
          <w:ilvl w:val="0"/>
          <w:numId w:val="1006"/>
        </w:numPr>
      </w:pPr>
      <w:r>
        <w:t xml:space="preserve">Market Services monetization;</w:t>
      </w:r>
    </w:p>
    <w:p>
      <w:pPr>
        <w:pStyle w:val="Compact"/>
        <w:numPr>
          <w:ilvl w:val="0"/>
          <w:numId w:val="1006"/>
        </w:numPr>
      </w:pPr>
      <w:r>
        <w:t xml:space="preserve">2026 expense guidance and margin trajectory; and</w:t>
      </w:r>
    </w:p>
    <w:p>
      <w:pPr>
        <w:pStyle w:val="Compact"/>
        <w:numPr>
          <w:ilvl w:val="0"/>
          <w:numId w:val="1006"/>
        </w:numPr>
      </w:pPr>
      <w:r>
        <w:t xml:space="preserve">Evidence that cross-sell, cloud, AI, 23/5 trading, and tokenization are becoming tangible commercial opportunities rather than only strategic narratives.</w:t>
      </w:r>
    </w:p>
    <w:p>
      <w:r>
        <w:pict>
          <v:rect style="width:0;height:1.5pt" o:hralign="center" o:hrstd="t" o:hr="t"/>
        </w:pict>
      </w:r>
    </w:p>
    <w:bookmarkEnd w:id="17"/>
    <w:bookmarkStart w:id="18" w:name="bull-case"/>
    <w:p>
      <w:pPr>
        <w:pStyle w:val="Heading2"/>
      </w:pPr>
      <w:r>
        <w:t xml:space="preserve">Bull case</w:t>
      </w:r>
    </w:p>
    <w:p>
      <w:pPr>
        <w:pStyle w:val="FirstParagraph"/>
      </w:pPr>
      <w:r>
        <w:t xml:space="preserve">A bullish outcome would include:</w:t>
      </w:r>
    </w:p>
    <w:p>
      <w:pPr>
        <w:pStyle w:val="Compact"/>
        <w:numPr>
          <w:ilvl w:val="0"/>
          <w:numId w:val="1007"/>
        </w:numPr>
      </w:pPr>
      <w:r>
        <w:t xml:space="preserve">FinTech organic revenue and ARR growth remaining near 1Q levels;</w:t>
      </w:r>
    </w:p>
    <w:p>
      <w:pPr>
        <w:pStyle w:val="Compact"/>
        <w:numPr>
          <w:ilvl w:val="0"/>
          <w:numId w:val="1007"/>
        </w:numPr>
      </w:pPr>
      <w:r>
        <w:t xml:space="preserve">Continued acceleration in Verafin enterprise implementation and cloud-based bookings;</w:t>
      </w:r>
    </w:p>
    <w:p>
      <w:pPr>
        <w:pStyle w:val="Compact"/>
        <w:numPr>
          <w:ilvl w:val="0"/>
          <w:numId w:val="1007"/>
        </w:numPr>
      </w:pPr>
      <w:r>
        <w:t xml:space="preserve">Strong index flows and ETP AUM, with favorable progress from expanded Nasdaq-100 distribution;</w:t>
      </w:r>
    </w:p>
    <w:p>
      <w:pPr>
        <w:pStyle w:val="Compact"/>
        <w:numPr>
          <w:ilvl w:val="0"/>
          <w:numId w:val="1007"/>
        </w:numPr>
      </w:pPr>
      <w:r>
        <w:t xml:space="preserve">Market Services growth supported by healthy options/equity volumes without a material deterioration in capture;</w:t>
      </w:r>
    </w:p>
    <w:p>
      <w:pPr>
        <w:pStyle w:val="Compact"/>
        <w:numPr>
          <w:ilvl w:val="0"/>
          <w:numId w:val="1007"/>
        </w:numPr>
      </w:pPr>
      <w:r>
        <w:t xml:space="preserve">Guidance maintained or improved, despite the expected 2Q expense increase;</w:t>
      </w:r>
    </w:p>
    <w:p>
      <w:pPr>
        <w:pStyle w:val="Compact"/>
        <w:numPr>
          <w:ilvl w:val="0"/>
          <w:numId w:val="1007"/>
        </w:numPr>
      </w:pPr>
      <w:r>
        <w:t xml:space="preserve">Further evidence of commercial adoption for AI solutions, including Verafin’s agentic workforce and cloud/AI upsells across AxiomSL and Calypso.</w:t>
      </w:r>
    </w:p>
    <w:bookmarkEnd w:id="18"/>
    <w:bookmarkStart w:id="19" w:name="bear-case"/>
    <w:p>
      <w:pPr>
        <w:pStyle w:val="Heading2"/>
      </w:pPr>
      <w:r>
        <w:t xml:space="preserve">Bear case</w:t>
      </w:r>
    </w:p>
    <w:p>
      <w:pPr>
        <w:pStyle w:val="FirstParagraph"/>
      </w:pPr>
      <w:r>
        <w:t xml:space="preserve">A bearish result would likely involve:</w:t>
      </w:r>
    </w:p>
    <w:p>
      <w:pPr>
        <w:pStyle w:val="Compact"/>
        <w:numPr>
          <w:ilvl w:val="0"/>
          <w:numId w:val="1008"/>
        </w:numPr>
      </w:pPr>
      <w:r>
        <w:t xml:space="preserve">A sharp sequential deceleration in FinTech growth or ARR;</w:t>
      </w:r>
    </w:p>
    <w:p>
      <w:pPr>
        <w:pStyle w:val="Compact"/>
        <w:numPr>
          <w:ilvl w:val="0"/>
          <w:numId w:val="1008"/>
        </w:numPr>
      </w:pPr>
      <w:r>
        <w:t xml:space="preserve">Weak conversion of bookings to revenue, particularly in enterprise financial-crime products;</w:t>
      </w:r>
    </w:p>
    <w:p>
      <w:pPr>
        <w:pStyle w:val="Compact"/>
        <w:numPr>
          <w:ilvl w:val="0"/>
          <w:numId w:val="1008"/>
        </w:numPr>
      </w:pPr>
      <w:r>
        <w:t xml:space="preserve">Slower index flows, weaker AUM, or continued lower-capture derivatives mix;</w:t>
      </w:r>
    </w:p>
    <w:p>
      <w:pPr>
        <w:pStyle w:val="Compact"/>
        <w:numPr>
          <w:ilvl w:val="0"/>
          <w:numId w:val="1008"/>
        </w:numPr>
      </w:pPr>
      <w:r>
        <w:t xml:space="preserve">Market Services volume strength that fails to convert to revenue because of mix or pricing pressure;</w:t>
      </w:r>
    </w:p>
    <w:p>
      <w:pPr>
        <w:pStyle w:val="Compact"/>
        <w:numPr>
          <w:ilvl w:val="0"/>
          <w:numId w:val="1008"/>
        </w:numPr>
      </w:pPr>
      <w:r>
        <w:t xml:space="preserve">Expense guidance moving higher without a matching revenue outlook improvement;</w:t>
      </w:r>
    </w:p>
    <w:p>
      <w:pPr>
        <w:pStyle w:val="Compact"/>
        <w:numPr>
          <w:ilvl w:val="0"/>
          <w:numId w:val="1008"/>
        </w:numPr>
      </w:pPr>
      <w:r>
        <w:t xml:space="preserve">More emphasis on longer-dated 23/5, tokenization, or AI opportunities to offset softer current-period execution.</w:t>
      </w:r>
    </w:p>
    <w:p>
      <w:r>
        <w:pict>
          <v:rect style="width:0;height:1.5pt" o:hralign="center" o:hrstd="t" o:hr="t"/>
        </w:pict>
      </w:r>
    </w:p>
    <w:bookmarkEnd w:id="19"/>
    <w:bookmarkStart w:id="21" w:name="bottom-line"/>
    <w:p>
      <w:pPr>
        <w:pStyle w:val="Heading2"/>
      </w:pPr>
      <w:r>
        <w:t xml:space="preserve">Bottom line</w:t>
      </w:r>
    </w:p>
    <w:p>
      <w:pPr>
        <w:pStyle w:val="FirstParagraph"/>
      </w:pPr>
      <w:r>
        <w:t xml:space="preserve">Nasdaq’s 2Q26 report is primarily a test of whether the company can extend its</w:t>
      </w:r>
      <w:r>
        <w:t xml:space="preserve"> </w:t>
      </w:r>
      <w:r>
        <w:rPr>
          <w:b/>
          <w:bCs/>
        </w:rPr>
        <w:t xml:space="preserve">1Q26 broad-based growth and margin expansion</w:t>
      </w:r>
      <w:r>
        <w:t xml:space="preserve">. The highest-value indicators will be FinTech ARR and bookings quality, Index AUM/flows, Market Services capture, and management’s confidence in the 2026 expense framework.</w:t>
      </w:r>
    </w:p>
    <w:p>
      <w:pPr>
        <w:pStyle w:val="BodyText"/>
      </w:pPr>
      <w:r>
        <w:t xml:space="preserve">The core investment debate is increasingly favorable: Nasdaq has a large and growing recurring-revenue base, high incremental margins, strong cash generation, and credible growth opportunities in AI, cloud modernization, cross-selling, data, index distribution, and always-on markets. But after a very strong first quarter, the bar is higher—particularly for Financial Technology—and investors will want proof that revenue growth remains durable beyond favorable market activity and discrete items.</w:t>
      </w:r>
    </w:p>
    <w:bookmarkStart w:id="20" w:name="sources"/>
    <w:p>
      <w:pPr>
        <w:pStyle w:val="Heading3"/>
      </w:pPr>
      <w:r>
        <w:t xml:space="preserve">Sources</w:t>
      </w:r>
    </w:p>
    <w:p>
      <w:pPr>
        <w:pStyle w:val="Compact"/>
        <w:numPr>
          <w:ilvl w:val="0"/>
          <w:numId w:val="1009"/>
        </w:numPr>
      </w:pPr>
      <w:r>
        <w:t xml:space="preserve">Nasdaq,</w:t>
      </w:r>
      <w:r>
        <w:t xml:space="preserve"> </w:t>
      </w:r>
      <w:r>
        <w:rPr>
          <w:b/>
          <w:bCs/>
        </w:rPr>
        <w:t xml:space="preserve">“Nasdaq to Hold Second Quarter 2026 Investor Conference Call,”</w:t>
      </w:r>
      <w:r>
        <w:t xml:space="preserve"> </w:t>
      </w:r>
      <w:r>
        <w:t xml:space="preserve">June 29, 2026.</w:t>
      </w:r>
    </w:p>
    <w:p>
      <w:pPr>
        <w:pStyle w:val="Compact"/>
        <w:numPr>
          <w:ilvl w:val="0"/>
          <w:numId w:val="1009"/>
        </w:numPr>
      </w:pPr>
      <w:r>
        <w:t xml:space="preserve">Nasdaq,</w:t>
      </w:r>
      <w:r>
        <w:t xml:space="preserve"> </w:t>
      </w:r>
      <w:r>
        <w:rPr>
          <w:b/>
          <w:bCs/>
        </w:rPr>
        <w:t xml:space="preserve">1Q26 Earnings Release</w:t>
      </w:r>
      <w:r>
        <w:t xml:space="preserve">, April 23, 2026.</w:t>
      </w:r>
    </w:p>
    <w:p>
      <w:pPr>
        <w:pStyle w:val="Compact"/>
        <w:numPr>
          <w:ilvl w:val="0"/>
          <w:numId w:val="1009"/>
        </w:numPr>
      </w:pPr>
      <w:r>
        <w:t xml:space="preserve">Nasdaq,</w:t>
      </w:r>
      <w:r>
        <w:t xml:space="preserve"> </w:t>
      </w:r>
      <w:r>
        <w:rPr>
          <w:b/>
          <w:bCs/>
        </w:rPr>
        <w:t xml:space="preserve">1Q26 Earnings Call Transcript</w:t>
      </w:r>
      <w:r>
        <w:t xml:space="preserve">, April 23, 2026.</w:t>
      </w:r>
    </w:p>
    <w:p>
      <w:pPr>
        <w:pStyle w:val="Compact"/>
        <w:numPr>
          <w:ilvl w:val="0"/>
          <w:numId w:val="1009"/>
        </w:numPr>
      </w:pPr>
      <w:r>
        <w:t xml:space="preserve">Nasdaq,</w:t>
      </w:r>
      <w:r>
        <w:t xml:space="preserve"> </w:t>
      </w:r>
      <w:r>
        <w:rPr>
          <w:b/>
          <w:bCs/>
        </w:rPr>
        <w:t xml:space="preserve">2Q25 Earnings Release</w:t>
      </w:r>
      <w:r>
        <w:t xml:space="preserve">, July 24, 2025.</w:t>
      </w:r>
    </w:p>
    <w:p>
      <w:pPr>
        <w:pStyle w:val="Compact"/>
        <w:numPr>
          <w:ilvl w:val="0"/>
          <w:numId w:val="1009"/>
        </w:numPr>
      </w:pPr>
      <w:r>
        <w:t xml:space="preserve">Nasdaq,</w:t>
      </w:r>
      <w:r>
        <w:t xml:space="preserve"> </w:t>
      </w:r>
      <w:r>
        <w:rPr>
          <w:b/>
          <w:bCs/>
        </w:rPr>
        <w:t xml:space="preserve">2026 Investor Day Transcript</w:t>
      </w:r>
      <w:r>
        <w:t xml:space="preserve">, February 25, 2026.</w:t>
      </w:r>
    </w:p>
    <w:p>
      <w:pPr>
        <w:pStyle w:val="Compact"/>
        <w:numPr>
          <w:ilvl w:val="0"/>
          <w:numId w:val="1009"/>
        </w:numPr>
      </w:pPr>
      <w:r>
        <w:t xml:space="preserve">NDAQ historical closing-price data through July 22, 2026.</w:t>
      </w:r>
    </w:p>
    <w:bookmarkEnd w:id="20"/>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2026-07-23T00:15:06Z</dcterms:created>
  <dcterms:modified xsi:type="dcterms:W3CDTF">2026-07-23T00:15:06Z</dcterms:modified>
</cp:coreProperties>
</file>

<file path=docProps/custom.xml><?xml version="1.0" encoding="utf-8"?>
<Properties xmlns="http://schemas.openxmlformats.org/officeDocument/2006/custom-properties" xmlns:vt="http://schemas.openxmlformats.org/officeDocument/2006/docPropsVTypes"/>
</file>