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Nasdaq, Inc. (NDAQ) — Q2 2026 Earnings Preview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Company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Nasdaq, Inc.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Ticker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NDAQ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Upcoming Earnings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Q2 2026 (expected late July 2026)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Last Earnings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Q1 2026 — April 23, 2026</w:t>
            </w:r>
          </w:p>
        </w:tc>
      </w:tr>
      <w:tr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Preparation Date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July 22, 2026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b/>
                <w:sz w:val="22"/>
              </w:rPr>
              <w:t>Sector ETF (Chart)</w:t>
            </w:r>
          </w:p>
        </w:tc>
        <w:tc>
          <w:tcPr>
            <w:tcW w:type="dxa" w:w="2160"/>
          </w:tcPr>
          <w:p>
            <w:r>
              <w:rPr>
                <w:rFonts w:ascii="Calibri" w:hAnsi="Calibri"/>
                <w:sz w:val="22"/>
              </w:rPr>
              <w:t>XLF (Financials Select Sector SPDR)</w:t>
            </w:r>
          </w:p>
        </w:tc>
      </w:tr>
    </w:tbl>
    <w:p>
      <w:pPr>
        <w:pStyle w:val="Heading2"/>
      </w:pPr>
      <w:r>
        <w:rPr>
          <w:rFonts w:ascii="Calibri" w:hAnsi="Calibri"/>
          <w:b/>
          <w:color w:val="3B4259"/>
          <w:sz w:val="28"/>
        </w:rPr>
        <w:t>1. 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setup into Q2 2026 is constructive but not euphoric — </w:t>
      </w:r>
      <w:r>
        <w:rPr>
          <w:rFonts w:ascii="Calibri" w:hAnsi="Calibri"/>
          <w:b/>
          <w:color w:val="525866"/>
          <w:sz w:val="22"/>
        </w:rPr>
        <w:t>Financial Technology ARR growth and index ETP inflows are the two biggest swing factors</w:t>
      </w:r>
      <w:r>
        <w:rPr>
          <w:rFonts w:ascii="Calibri" w:hAnsi="Calibri"/>
          <w:color w:val="525866"/>
          <w:sz w:val="22"/>
        </w:rPr>
        <w:t>, with consensus sitting at a modest bar that NDAQ has cleared for five consecutive quarters.</w:t>
      </w:r>
    </w:p>
    <w:p>
      <w:r>
        <w:rPr>
          <w:rFonts w:ascii="Calibri" w:hAnsi="Calibri"/>
          <w:color w:val="525866"/>
          <w:sz w:val="22"/>
        </w:rPr>
        <w:t xml:space="preserve">Heading into Q2 2026, the bar for NDAQ looks achievable: consensus net revenue of ~$1.46B implies roughly 11% YoY growth, a step-up from Q1’s $1.41B actual but consistent with the trajectory management has guided toward. The tone from the Q1 call was notably confident — management flagged strong early-Q2 ETP inflows ($15B as of April 20), an enterprise upsell and Tier-1 cross-sell in Verafin already signed, and improving IPO activity — all pointing to a quarter where the fintech and index engines are both firing. Estimate revisions have drifted modestly higher since the Q1 print, with the Q2 consensus EPS moving from $0.943 to $0.985, suggesting the Street is gradually pricing in the momentum rather than getting ahead of it. The stock has lagged the broader financial sector since earnings (NDAQ +4.4% vs. XLF +8.2% and SPY +5.5%), with a sharp mid-June dip to ~$77 creating a reset that has since partially recovered to ~$91 — the underperformance likely reflects the index-reset headwind and higher Q2 expense guidance rather than fundamental deterioration. The key wildcard is </w:t>
      </w:r>
      <w:r>
        <w:rPr>
          <w:rFonts w:ascii="Calibri" w:hAnsi="Calibri"/>
          <w:b/>
          <w:color w:val="525866"/>
          <w:sz w:val="22"/>
        </w:rPr>
        <w:t>Financial Technology revenue growth</w:t>
      </w:r>
      <w:r>
        <w:rPr>
          <w:rFonts w:ascii="Calibri" w:hAnsi="Calibri"/>
          <w:color w:val="525866"/>
          <w:sz w:val="22"/>
        </w:rPr>
        <w:t>: Q1 delivered the highest-ever quarterly fintech growth rate, and any moderation back toward the mid-teens could disappoint a market that has begun to price in sustained acceleration, while a second consecutive record quarter would be a meaningful positive catalyst.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2. 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Consensus is a moderate bar — NDAQ has beaten on both revenue and EPS for five straight quarters. </w:t>
      </w:r>
      <w:r>
        <w:rPr>
          <w:rFonts w:ascii="Calibri" w:hAnsi="Calibri"/>
          <w:b/>
          <w:color w:val="525866"/>
          <w:sz w:val="22"/>
        </w:rPr>
        <w:t>Financial Technology revenue growth rate</w:t>
      </w:r>
      <w:r>
        <w:rPr>
          <w:rFonts w:ascii="Calibri" w:hAnsi="Calibri"/>
          <w:color w:val="525866"/>
          <w:sz w:val="22"/>
        </w:rPr>
        <w:t xml:space="preserve"> is the bigger swing factor; index ETP AUM and the derivatives rate reset are secondary but meaningful.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1 — Q2 2026 Current Quarter Snapshot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Q1 2026 Actual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2025 Actual (Prior Year)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Consensus Estimate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Net Revenue (Rev. less transaction-based exp.)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$1,407M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$1,306M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$1,456M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+11.5%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specific Q2 guidance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Financial Technology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$517M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$464M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$521M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+12.3%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specific Q2 guidance; mgmt cited “good demand and momentum across all 3 areas”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Capital Access Platforms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$565M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$520M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$594M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+14.3%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Index sharing agreement reset to higher tier as of end of Q1; ETP inflows $15B as of Apr 20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Solutions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$1,082M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$984M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$1,116M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+13.4%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specific Q2 guidance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Non-GAAP Operating EPS (Diluted)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$0.96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$0.85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$0.985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+15.9%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specific EPS guidance; FY2026 non-GAAP tax rate 22.5%–24.5%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Non-GAAP Operating Expenses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$608M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$585M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$641M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+9.6%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FY2026 opex guidance raised to $2.485B–$2.545B; Q2 expense growth expected higher than Q1 due to annual comp cycle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~+0.5% above FY midpoint run-rate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Non-GAAP Operating Income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$799M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$721M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$814M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+12.9%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No specific Q2 guidance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Sources: Visible Alpha Consensus and Actuals Data. All consensus figures as of July 22, 2026.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Table 2 — Beat/Miss History (Last 8 Quarters)</w:t>
      </w:r>
    </w:p>
    <w:p>
      <w:r>
        <w:rPr>
          <w:rFonts w:ascii="Calibri" w:hAnsi="Calibri"/>
          <w:b/>
          <w:color w:val="525866"/>
          <w:sz w:val="22"/>
        </w:rPr>
        <w:t>Top KPI 1: Net Revenue (Revenues less transaction-based expenses)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 ($M)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($M)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$1,407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$1,377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$1,392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$1,373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$1,315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$1,304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+0.8%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$1,306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$1,279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+2.1%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$1,237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$1,234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+0.2%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$1,227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$1,228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-0.1%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In-line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$1,180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$1,173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+0.6%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$1,159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$1,132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>Top KPI 2: Non-GAAP Diluted EPS (Operating)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 ($)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($)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$0.96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$0.930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+3.2%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$0.96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$0.916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+4.8%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$0.88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$0.848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+3.8%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$0.85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$0.814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+4.4%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$0.79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$0.772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$0.76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$0.750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$0.74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$0.699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+5.9%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$0.69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$0.642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+7.5%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 xml:space="preserve">Pattern: </w:t>
      </w:r>
      <w:r>
        <w:rPr>
          <w:rFonts w:ascii="Calibri" w:hAnsi="Calibri"/>
          <w:color w:val="525866"/>
          <w:sz w:val="22"/>
        </w:rPr>
        <w:t>NDAQ has beaten consensus on both net revenue and non-GAAP EPS in 7 of the last 8 quarters, with EPS beats averaging ~4% and revenue beats averaging ~1.2%. The consistency of the beat pattern suggests consensus is systematically conservative, though the magnitude of EPS beats has narrowed slightly in recent quarters as the bar has risen.</w:t>
      </w:r>
    </w:p>
    <w:p>
      <w:r>
        <w:rPr>
          <w:rFonts w:ascii="Calibri" w:hAnsi="Calibri"/>
          <w:i/>
          <w:color w:val="525866"/>
          <w:sz w:val="22"/>
        </w:rPr>
        <w:t>Source: Visible Alpha Consensus and Actuals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3. 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NDAQ does not provide quarterly revenue or EPS guidance, but management raised FY2026 non-GAAP opex guidance modestly at Q1 earnings and flagged higher Q2 expense growth due to the annual compensation cycle. </w:t>
      </w:r>
      <w:r>
        <w:rPr>
          <w:rFonts w:ascii="Calibri" w:hAnsi="Calibri"/>
          <w:b/>
          <w:color w:val="525866"/>
          <w:sz w:val="22"/>
        </w:rPr>
        <w:t>Tone is constructive</w:t>
      </w:r>
      <w:r>
        <w:rPr>
          <w:rFonts w:ascii="Calibri" w:hAnsi="Calibri"/>
          <w:color w:val="525866"/>
          <w:sz w:val="22"/>
        </w:rPr>
        <w:t xml:space="preserve"> — management cited strong early-Q2 ETP inflows, a new Verafin Tier-1 cross-sell, and improving IPO activity.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2026 Earnings Call — Apr 23, 2026)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FY2026 Non-GAAP Opex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$2.485B – $2.545B (raised from $2.455B–$2.535B at Q4 2025 earnings)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$2.533B (consensus)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↑ Raised at Q1 2026 earnings; reflects strong revenue performance YTD; FX impact consistent with prior expectations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FY2026 Non-GAAP Tax Rate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22.5% – 24.5%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~23.5% (consensus)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Maintained; no change since Q4 2025 earnings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2026 Expense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Higher than Q1 2026; driven by annual compensation cycle timing (consistent with prior year)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$641M (consensus Q2 opex)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Qualitative only; no specific Q2 opex number provided; consensus implies ~5.4% sequential step-up from Q1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2026 Revenue / EPS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No specific guidance; management does not provide quarterly revenue or EPS outlook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$1,456M net revenue; $0.985 EPS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Mgmt cited strong early-Q2 ETP inflows ($15B as of Apr 20), Verafin Tier-1 cross-sell, improving IPO environment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Index Sharing Agreement Reset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Higher tier achieved as of end of Q1 2026; will flow into Q2 at higher level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Embedded in Capital Access Platforms consensus of $594M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↑ Positive sequential tailwind for index revenue in Q2 vs. Q1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23/5 Extended Trading Launch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December 6, 2026 (confirmed launch date)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 (FY2027 revenue impact)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Incremental demand for data, surveillance, Calypso, and trade management services expected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AI Expense Efficiency Program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$100M savings target by end of 2027; majority in 2027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N/A (FY2027 benefit)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Investments being made in 2026 to enable 2027 savings; not a near-term EPS driver</w:t>
            </w:r>
          </w:p>
        </w:tc>
      </w:tr>
    </w:tbl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4. 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Estimates have drifted modestly higher since the Q1 2026 print across all key KPIs, with Q2 2026 EPS consensus rising from $0.943 to $0.985 (+4.5%) and FY2026 EPS from $3.923 to $4.012 (+2.3%). </w:t>
      </w:r>
      <w:r>
        <w:rPr>
          <w:rFonts w:ascii="Calibri" w:hAnsi="Calibri"/>
          <w:b/>
          <w:color w:val="525866"/>
          <w:sz w:val="22"/>
        </w:rPr>
        <w:t>Revisions are tracking with management’s constructive tone</w:t>
      </w:r>
      <w:r>
        <w:rPr>
          <w:rFonts w:ascii="Calibri" w:hAnsi="Calibri"/>
          <w:color w:val="525866"/>
          <w:sz w:val="22"/>
        </w:rPr>
        <w:t xml:space="preserve"> rather than diverging, suggesting the gap represents modest cushion rather than risk.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 (Period)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~5 Days Post Q1 Earnings (as of Apr 28,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 (Jul 22, 2026)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Δ (%)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2026 Call)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Δ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Net Revenue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$1,418M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$1,456M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+2.7%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Net Revenue — FY2026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$5,756M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$5,834M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+1.4%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Non-GAAP EPS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$0.943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$0.985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+4.5%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Non-GAAP EPS — FY2026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$3.923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$4.012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+2.3%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Total Financial Technology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$523M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$521M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-0.5%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guidance; “good demand and momentum”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Total Financial Technology — FY2026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$2,131M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$2,125M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 specific guidance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Capital Access Platforms — Q2 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$577M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$594M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+3.0%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Index reset to higher tier; $15B ETP inflows as of Apr 20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Non-GAAP Opex — FY2026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$2,519M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$2,533M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+0.6%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$2.485B – $2.545B (midpoint $2.515B)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 since Q1 call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+0.7% above midpoint</w:t>
            </w:r>
          </w:p>
        </w:tc>
      </w:tr>
    </w:tbl>
    <w:p>
      <w:r>
        <w:rPr>
          <w:rFonts w:ascii="Calibri" w:hAnsi="Calibri"/>
          <w:color w:val="525866"/>
          <w:sz w:val="22"/>
        </w:rPr>
        <w:t>Estimates have moved consistently higher since the Q1 print, with the largest revision in Q2 EPS (+4.5%) and Capital Access Platforms (+3.0%), reflecting the index sharing agreement reset tailwind and Verafin momentum. Financial Technology consensus is essentially flat, suggesting the Street is not yet pricing in a repeat of Q1’s record growth rate — this creates asymmetric upside if fintech execution continues to surprise.</w:t>
      </w:r>
    </w:p>
    <w:p>
      <w:r>
        <w:rPr>
          <w:rFonts w:ascii="Calibri" w:hAnsi="Calibri"/>
          <w:i/>
          <w:color w:val="525866"/>
          <w:sz w:val="22"/>
        </w:rPr>
        <w:t>Source: Visible Alpha Consensus and Actuals Data. Post-earnings baseline as of April 28, 2026 (5 trading days after April 23, 2026 earnings).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5. 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NDAQ has underperformed both XLF (+8.2%) and SPY (+5.5%) since the Q1 earnings date, gaining only +4.4% from $87.04 to $90.90. The underperformance is driven by a </w:t>
      </w:r>
      <w:r>
        <w:rPr>
          <w:rFonts w:ascii="Calibri" w:hAnsi="Calibri"/>
          <w:b/>
          <w:color w:val="525866"/>
          <w:sz w:val="22"/>
        </w:rPr>
        <w:t>sharp mid-June selloff to a trough of $76.85 on June 29</w:t>
      </w:r>
      <w:r>
        <w:rPr>
          <w:rFonts w:ascii="Calibri" w:hAnsi="Calibri"/>
          <w:color w:val="525866"/>
          <w:sz w:val="22"/>
        </w:rPr>
        <w:t xml:space="preserve"> — likely reflecting the index derivatives rate reset headwind and higher Q2 expense guidance — followed by a recovery as the market re-focused on the strong fundamental setup.</w:t>
      </w:r>
    </w:p>
    <w:p>
      <w:r>
        <w:drawing>
          <wp:inline xmlns:a="http://schemas.openxmlformats.org/drawingml/2006/main" xmlns:pic="http://schemas.openxmlformats.org/drawingml/2006/picture">
            <wp:extent cx="4572000" cy="326571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657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NDAQ vs. XLF (Financials ETF) vs. S&amp;P 500 (SPY) — Indexed to 100 at April 23, 2026 (Q1 2026 Earnings Date). Source: Yahoo Finance / Stock Price Data.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NDAQ: </w:t>
      </w:r>
      <w:r>
        <w:rPr>
          <w:rFonts w:ascii="Calibri" w:hAnsi="Calibri"/>
          <w:color w:val="525866"/>
          <w:sz w:val="22"/>
        </w:rPr>
        <w:t>+4.4% from $87.04 to $90.90 (as of July 22, 2026). Peak of $94.25 on July 16; trough of $76.85 on June 29.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XLF (Financials Select Sector SPDR): </w:t>
      </w:r>
      <w:r>
        <w:rPr>
          <w:rFonts w:ascii="Calibri" w:hAnsi="Calibri"/>
          <w:color w:val="525866"/>
          <w:sz w:val="22"/>
        </w:rPr>
        <w:t>+8.2% from $51.80 to $56.05. Sector ETF selected as the most relevant benchmark for NDAQ’s exchange/financial data sub-sector.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S&amp;P 500 (SPY): </w:t>
      </w:r>
      <w:r>
        <w:rPr>
          <w:rFonts w:ascii="Calibri" w:hAnsi="Calibri"/>
          <w:color w:val="525866"/>
          <w:sz w:val="22"/>
        </w:rPr>
        <w:t>+5.5% from $708.45 to $747.41.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Key events: </w:t>
      </w:r>
      <w:r>
        <w:rPr>
          <w:rFonts w:ascii="Calibri" w:hAnsi="Calibri"/>
          <w:color w:val="525866"/>
          <w:sz w:val="22"/>
        </w:rPr>
        <w:t>June 1 — Nasdaq’s listed companies surpassed NYSE in total global market cap for the first time (milestone announcement). July 1 — NDAQ secured a new $1.5B revolving credit facility (8-K filed), signaling balance sheet flexibility ahead of potential capital deployment.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Mid-June dip: </w:t>
      </w:r>
      <w:r>
        <w:rPr>
          <w:rFonts w:ascii="Calibri" w:hAnsi="Calibri"/>
          <w:color w:val="525866"/>
          <w:sz w:val="22"/>
        </w:rPr>
        <w:t>NDAQ fell from ~$91 on June 15 to $77.65 on June 25 (-14.7% in 8 trading days), significantly underperforming XLF and SPY over the same period. The selloff appears driven by index-reset headwind concerns and broader market rotation rather than company-specific negative news.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6. 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most important development since Q1 earnings is the </w:t>
      </w:r>
      <w:r>
        <w:rPr>
          <w:rFonts w:ascii="Calibri" w:hAnsi="Calibri"/>
          <w:b/>
          <w:color w:val="525866"/>
          <w:sz w:val="22"/>
        </w:rPr>
        <w:t>Nasdaq-100 methodology modernization (effective May 1, 2026)</w:t>
      </w:r>
      <w:r>
        <w:rPr>
          <w:rFonts w:ascii="Calibri" w:hAnsi="Calibri"/>
          <w:color w:val="525866"/>
          <w:sz w:val="22"/>
        </w:rPr>
        <w:t xml:space="preserve"> and the confirmed December 6, 2026 launch of 23/5 trading — both structural catalysts that expand NDAQ’s addressable revenue opportunity and reinforce the platform narrative heading into Q2.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1, 2026 — Nasdaq-100 Methodology Modernization Implemented.</w:t>
      </w:r>
      <w:r>
        <w:rPr>
          <w:rFonts w:ascii="Calibri" w:hAnsi="Calibri"/>
          <w:color w:val="525866"/>
          <w:sz w:val="22"/>
        </w:rPr>
        <w:t xml:space="preserve"> Three changes took effect: (1) shift from annual to quarterly rebalancing, (2) fast-entry pathway for top-40 companies by market cap (~15 trading days), and (3) graduated float-adjusted weighting replacing the prior minimum float rule. Management framed this as a structural response to companies staying private longer and larger IPOs with smaller floats. Implication: strengthens the index franchise’s long-term competitiveness and may attract additional ETF licensees.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April 23, 2026 — Q1 2026 Earnings Beat; Accelerated Share Repurchases.</w:t>
      </w:r>
      <w:r>
        <w:rPr>
          <w:rFonts w:ascii="Calibri" w:hAnsi="Calibri"/>
          <w:color w:val="525866"/>
          <w:sz w:val="22"/>
        </w:rPr>
        <w:t xml:space="preserve"> NDAQ reported non-GAAP EPS of $0.96 vs. $0.93 consensus and net revenue of $1,407M vs. ~$1,377M consensus. Notably, NDAQ repurchased nearly as much stock in Q1 2026 as in all of FY2025, taking advantage of market volatility. Gross leverage ended at ~2.8x, within the mid-to-high 2s target.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April 23, 2026 — Q2 2026 Early Indicators Flagged on Earnings Call.</w:t>
      </w:r>
      <w:r>
        <w:rPr>
          <w:rFonts w:ascii="Calibri" w:hAnsi="Calibri"/>
          <w:color w:val="525866"/>
          <w:sz w:val="22"/>
        </w:rPr>
        <w:t xml:space="preserve"> Management cited $15B in ETP net inflows as of April 20, an enterprise upsell and new Tier-1 Verafin cross-sell signed early in Q2, and an improving IPO environment. Drug trafficking analytic and GenAI platform extension both slated for Q2 launch.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May 1, 2026 — Nasdaq-100 Methodology Changes Live.</w:t>
      </w:r>
      <w:r>
        <w:rPr>
          <w:rFonts w:ascii="Calibri" w:hAnsi="Calibri"/>
          <w:color w:val="525866"/>
          <w:sz w:val="22"/>
        </w:rPr>
        <w:t xml:space="preserve"> Following open industry consultation in fall 2025, three targeted changes implemented. Implication: quarterly rebalancing creates incremental trading and data revenue opportunities.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~Late May 2026 — Nasdaq Listed Market Cap Surpasses NYSE Globally.</w:t>
      </w:r>
      <w:r>
        <w:rPr>
          <w:rFonts w:ascii="Calibri" w:hAnsi="Calibri"/>
          <w:color w:val="525866"/>
          <w:sz w:val="22"/>
        </w:rPr>
        <w:t xml:space="preserve"> For the first time in company history, Nasdaq’s listed companies exceeded NYSE in total global market capitalization. Management described this as a generational milestone. Implication: reinforces listings franchise strength and brand positioning for future IPO pipeline.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June 16, 2026 — Annual Shareholder Meeting; Board, Pay, Auditor Ratified.</w:t>
      </w:r>
      <w:r>
        <w:rPr>
          <w:rFonts w:ascii="Calibri" w:hAnsi="Calibri"/>
          <w:color w:val="525866"/>
          <w:sz w:val="22"/>
        </w:rPr>
        <w:t xml:space="preserve"> Routine governance event; no material changes to board composition or executive compensation structure. No negative shareholder activism signals.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July 1, 2026 — New $1.5B Revolving Credit Facility Secured (8-K).</w:t>
      </w:r>
      <w:r>
        <w:rPr>
          <w:rFonts w:ascii="Calibri" w:hAnsi="Calibri"/>
          <w:color w:val="525866"/>
          <w:sz w:val="22"/>
        </w:rPr>
        <w:t xml:space="preserve"> NDAQ replaced its prior revolving credit facility with a new $1.5B facility. Implication: enhances financial flexibility for bolt-on M&amp;A, share repurchases, or refinancing; signals lender confidence in credit profile at ~2.8x leverage.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Ongoing — Verafin Agentic AI Momentum.</w:t>
      </w:r>
      <w:r>
        <w:rPr>
          <w:rFonts w:ascii="Calibri" w:hAnsi="Calibri"/>
          <w:color w:val="525866"/>
          <w:sz w:val="22"/>
        </w:rPr>
        <w:t xml:space="preserve"> Over 500 clients now deploying the agentic AI workforce (up ~40% since Investor Day), with two live agents (sanctions and enhanced due diligence) and six more on the product roadmap. ROI calculator deployed in client conversations. Implication: accelerating adoption supports mid-twenties ARR growth characterization and enterprise deal pipeline.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Ongoing — FIS Distribution Partnership for Verafin.</w:t>
      </w:r>
      <w:r>
        <w:rPr>
          <w:rFonts w:ascii="Calibri" w:hAnsi="Calibri"/>
          <w:color w:val="525866"/>
          <w:sz w:val="22"/>
        </w:rPr>
        <w:t xml:space="preserve"> Agreement to deliver AML and fraud solutions to FIS banking and payments clients, expanding Verafin’s reach beyond direct sales. Implication: incremental ARR growth vector not fully reflected in near-term consensus.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Ongoing — Tokenization Strategy (H1 2027 Target).</w:t>
      </w:r>
      <w:r>
        <w:rPr>
          <w:rFonts w:ascii="Calibri" w:hAnsi="Calibri"/>
          <w:color w:val="525866"/>
          <w:sz w:val="22"/>
        </w:rPr>
        <w:t xml:space="preserve"> Nasdaq’s issuer-centric equity token design with Kraken/Payward partnership targeting H1 2027 operational launch. DTCC expressed interest in achieving a first tokenized trade before year-end 2026. Implication: not a near-term revenue driver but a long-term optionality catalyst.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Ongoing — Outcome-Oriented/Event Options (Year-End Launch Target).</w:t>
      </w:r>
      <w:r>
        <w:rPr>
          <w:rFonts w:ascii="Calibri" w:hAnsi="Calibri"/>
          <w:color w:val="525866"/>
          <w:sz w:val="22"/>
        </w:rPr>
        <w:t xml:space="preserve"> SEC approval sought for binary-style options on Nasdaq-100 directional performance. OCC engaged on risk and margin models. Implication: potential new revenue stream in Market Services; read-through from CME’s prediction market traction (140K+ accounts, 4M+ ADV) is encouraging.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7. Peer Commentaries — Q2 2026 Read-Throughs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Peer commentary from Q2 2026 earnings (MCO, CME, MSCI) and Q1 2026 earnings with Q2 forward guidance (CBOE, ICE, SPGI) paints a </w:t>
      </w:r>
      <w:r>
        <w:rPr>
          <w:rFonts w:ascii="Calibri" w:hAnsi="Calibri"/>
          <w:b/>
          <w:color w:val="525866"/>
          <w:sz w:val="22"/>
        </w:rPr>
        <w:t>broadly constructive backdrop for NDAQ’s Q2</w:t>
      </w:r>
      <w:r>
        <w:rPr>
          <w:rFonts w:ascii="Calibri" w:hAnsi="Calibri"/>
          <w:color w:val="525866"/>
          <w:sz w:val="22"/>
        </w:rPr>
        <w:t>: record index AUM, strong derivatives volumes, robust data demand, and healthy capital markets activity all read through positively. The one nuance is that NDAQ’s fintech ARR growth (mid-teens) is a company-specific driver not directly corroborated by peers.</w:t>
      </w:r>
    </w:p>
    <w:p>
      <w:r>
        <w:rPr>
          <w:rFonts w:ascii="Calibri" w:hAnsi="Calibri"/>
          <w:i/>
          <w:color w:val="525866"/>
          <w:sz w:val="22"/>
        </w:rPr>
        <w:t>Note: Only forward-looking commentary about Q2 2026 conditions or post-Q1 2026 outlook is included below. Backward-looking Q1 2025 or Q4 2025 results commentary from peers has been excluded.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MSCI (Q2 2026 Earnings — July 21, 2026) — Index AUM &amp; Data Demand Read-Through</w:t>
      </w:r>
    </w:p>
    <w:p>
      <w:r>
        <w:rPr>
          <w:rFonts w:ascii="Calibri" w:hAnsi="Calibri"/>
          <w:b/>
          <w:color w:val="525866"/>
          <w:sz w:val="22"/>
        </w:rPr>
        <w:t xml:space="preserve">Relevance to NDAQ: </w:t>
      </w:r>
      <w:r>
        <w:rPr>
          <w:rFonts w:ascii="Calibri" w:hAnsi="Calibri"/>
          <w:color w:val="525866"/>
          <w:sz w:val="22"/>
        </w:rPr>
        <w:t>MSCI’s index business is the closest structural analog to NDAQ’s Capital Access Platforms (index licensing and ETP AUM-linked fees). MSCI’s Q2 results provide a direct read-through on index AUM trends and institutional demand for index products.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Record index AUM: </w:t>
      </w:r>
      <w:r>
        <w:rPr>
          <w:rFonts w:ascii="Calibri" w:hAnsi="Calibri"/>
          <w:color w:val="525866"/>
          <w:sz w:val="22"/>
        </w:rPr>
        <w:t xml:space="preserve">MSCI reported ETF AUM linked to its indices grew to over $2.8 trillion in Q2 2026, with close to $40 billion of cash inflows in the quarter. Non-ETF passive AUM stood at ~$5 trillion as of June 30. Asset-based fee (ABF) run rate reached ~$950M, growing 25% YoY. → </w:t>
      </w:r>
      <w:r>
        <w:rPr>
          <w:rFonts w:ascii="Calibri" w:hAnsi="Calibri"/>
          <w:b/>
          <w:color w:val="525866"/>
          <w:sz w:val="22"/>
        </w:rPr>
        <w:t>Strong read-through for NDAQ’s index ETP AUM and fee revenue in Q2.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Organic revenue growth of 12%+: </w:t>
      </w:r>
      <w:r>
        <w:rPr>
          <w:rFonts w:ascii="Calibri" w:hAnsi="Calibri"/>
          <w:color w:val="525866"/>
          <w:sz w:val="22"/>
        </w:rPr>
        <w:t xml:space="preserve">MSCI delivered 12%+ organic revenue growth, 19% adjusted EPS growth, and 14% EBITDA growth in Q2 2026. Index subscription run rate growth accelerated to 11%+, driven by recurring net new subscription sales of $28M+ (up 41% YoY). → </w:t>
      </w:r>
      <w:r>
        <w:rPr>
          <w:rFonts w:ascii="Calibri" w:hAnsi="Calibri"/>
          <w:b/>
          <w:color w:val="525866"/>
          <w:sz w:val="22"/>
        </w:rPr>
        <w:t>Validates the index franchise growth narrative NDAQ has been building.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Hedge fund and trader demand at record levels: </w:t>
      </w:r>
      <w:r>
        <w:rPr>
          <w:rFonts w:ascii="Calibri" w:hAnsi="Calibri"/>
          <w:color w:val="525866"/>
          <w:sz w:val="22"/>
        </w:rPr>
        <w:t xml:space="preserve">MSCI posted its best quarter on record with hedge funds — 19% subscription run rate growth, $15M in recurring net new sales (up 75% YoY), including three separate seven-figure deals. Recurring net new sales with hedge funds more than tripled YoY. → </w:t>
      </w:r>
      <w:r>
        <w:rPr>
          <w:rFonts w:ascii="Calibri" w:hAnsi="Calibri"/>
          <w:b/>
          <w:color w:val="525866"/>
          <w:sz w:val="22"/>
        </w:rPr>
        <w:t>Positive read-through for NDAQ’s derivatives and market data businesses.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Bullish H2 2026 outlook: </w:t>
      </w:r>
      <w:r>
        <w:rPr>
          <w:rFonts w:ascii="Calibri" w:hAnsi="Calibri"/>
          <w:color w:val="525866"/>
          <w:sz w:val="22"/>
        </w:rPr>
        <w:t xml:space="preserve">MSCI management stated they are “pretty bullish” on the outlook, with a “very good pipeline” for the next few quarters. Over 80 new products launched in the last two quarters vs. 40+ in all of 2024. → </w:t>
      </w:r>
      <w:r>
        <w:rPr>
          <w:rFonts w:ascii="Calibri" w:hAnsi="Calibri"/>
          <w:b/>
          <w:color w:val="525866"/>
          <w:sz w:val="22"/>
        </w:rPr>
        <w:t>Constructive for NDAQ’s own product pipeline execution.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AI monetization gaining traction: </w:t>
      </w:r>
      <w:r>
        <w:rPr>
          <w:rFonts w:ascii="Calibri" w:hAnsi="Calibri"/>
          <w:color w:val="525866"/>
          <w:sz w:val="22"/>
        </w:rPr>
        <w:t xml:space="preserve">Over 1,000 clients using MSCI’s Index AI Insights (launched February 2026); hundreds accessing solutions through preferred AI models. MSCI signed its first “training license” for a client to train a model using MSCI content. → </w:t>
      </w:r>
      <w:r>
        <w:rPr>
          <w:rFonts w:ascii="Calibri" w:hAnsi="Calibri"/>
          <w:b/>
          <w:color w:val="525866"/>
          <w:sz w:val="22"/>
        </w:rPr>
        <w:t>Validates NDAQ’s own AI monetization strategy (Verafin agentic workers, Surveillance Calibration Copilot).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CME Group (Q2 2026 Earnings — July 22, 2026) — Derivatives Volume &amp; Market Conditions Read-Through</w:t>
      </w:r>
    </w:p>
    <w:p>
      <w:r>
        <w:rPr>
          <w:rFonts w:ascii="Calibri" w:hAnsi="Calibri"/>
          <w:b/>
          <w:color w:val="525866"/>
          <w:sz w:val="22"/>
        </w:rPr>
        <w:t xml:space="preserve">Relevance to NDAQ: </w:t>
      </w:r>
      <w:r>
        <w:rPr>
          <w:rFonts w:ascii="Calibri" w:hAnsi="Calibri"/>
          <w:color w:val="525866"/>
          <w:sz w:val="22"/>
        </w:rPr>
        <w:t>CME’s derivatives volumes and market data commentary provide a read-through for NDAQ’s Market Services (US equity derivatives, index options) and market data businesses.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Record Q2 revenue: </w:t>
      </w:r>
      <w:r>
        <w:rPr>
          <w:rFonts w:ascii="Calibri" w:hAnsi="Calibri"/>
          <w:color w:val="525866"/>
          <w:sz w:val="22"/>
        </w:rPr>
        <w:t xml:space="preserve">CME reported Q2 2026 revenue of over $1.7B (up 1% YoY), marking a record for second-quarter revenue. ADV of 29.8M contracts was the second-highest Q2 in CME’s history. Open interest ended Q2 up 8% YoY and 16% since the start of 2026. → </w:t>
      </w:r>
      <w:r>
        <w:rPr>
          <w:rFonts w:ascii="Calibri" w:hAnsi="Calibri"/>
          <w:b/>
          <w:color w:val="525866"/>
          <w:sz w:val="22"/>
        </w:rPr>
        <w:t>Elevated derivatives activity is a positive read-through for NDAQ’s equity derivatives and index options volumes.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Equity complex surging: </w:t>
      </w:r>
      <w:r>
        <w:rPr>
          <w:rFonts w:ascii="Calibri" w:hAnsi="Calibri"/>
          <w:color w:val="525866"/>
          <w:sz w:val="22"/>
        </w:rPr>
        <w:t xml:space="preserve">CME’s equity complex ADV was 8.6M in Q2 (up 13% YoY), with June at 10.1M (up 54% YoY). July-to-date equity ADV tracking at ~7.8M, up 40-50% vs. July 2025. → </w:t>
      </w:r>
      <w:r>
        <w:rPr>
          <w:rFonts w:ascii="Calibri" w:hAnsi="Calibri"/>
          <w:b/>
          <w:color w:val="525866"/>
          <w:sz w:val="22"/>
        </w:rPr>
        <w:t>Strong equity derivatives demand environment directly benefits NDAQ’s options and futures businesses.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Market data at record levels: </w:t>
      </w:r>
      <w:r>
        <w:rPr>
          <w:rFonts w:ascii="Calibri" w:hAnsi="Calibri"/>
          <w:color w:val="525866"/>
          <w:sz w:val="22"/>
        </w:rPr>
        <w:t xml:space="preserve">CME market data revenue grew 20% to $238M in Q2 2026, marking 33 consecutive quarters of YoY growth and the 8th consecutive quarter of record revenue. Growth driven by price increases, 3.5% QoQ professional subscriber growth, and variable components. → </w:t>
      </w:r>
      <w:r>
        <w:rPr>
          <w:rFonts w:ascii="Calibri" w:hAnsi="Calibri"/>
          <w:b/>
          <w:color w:val="525866"/>
          <w:sz w:val="22"/>
        </w:rPr>
        <w:t>Validates the structural demand for exchange market data; positive for NDAQ’s market data segment.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Q3 2026 volume momentum strong: </w:t>
      </w:r>
      <w:r>
        <w:rPr>
          <w:rFonts w:ascii="Calibri" w:hAnsi="Calibri"/>
          <w:color w:val="525866"/>
          <w:sz w:val="22"/>
        </w:rPr>
        <w:t xml:space="preserve">CME noted July-to-date total volume tracking 18% ahead of last year, with equity complex up 40-50%. → </w:t>
      </w:r>
      <w:r>
        <w:rPr>
          <w:rFonts w:ascii="Calibri" w:hAnsi="Calibri"/>
          <w:b/>
          <w:color w:val="525866"/>
          <w:sz w:val="22"/>
        </w:rPr>
        <w:t>Suggests the elevated volume environment is carrying into Q3, a positive signal for NDAQ’s Market Services.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Prediction markets gaining traction: </w:t>
      </w:r>
      <w:r>
        <w:rPr>
          <w:rFonts w:ascii="Calibri" w:hAnsi="Calibri"/>
          <w:color w:val="525866"/>
          <w:sz w:val="22"/>
        </w:rPr>
        <w:t xml:space="preserve">CME’s event contracts saw ADV of 4M+/day in Q2 (up 40% vs. Q1), with 140K+ accounts trading. → </w:t>
      </w:r>
      <w:r>
        <w:rPr>
          <w:rFonts w:ascii="Calibri" w:hAnsi="Calibri"/>
          <w:b/>
          <w:color w:val="525866"/>
          <w:sz w:val="22"/>
        </w:rPr>
        <w:t>Validates NDAQ’s own pursuit of outcome-oriented/event options (SEC approval pending, year-end launch target).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24/7 crypto trading launched: </w:t>
      </w:r>
      <w:r>
        <w:rPr>
          <w:rFonts w:ascii="Calibri" w:hAnsi="Calibri"/>
          <w:color w:val="525866"/>
          <w:sz w:val="22"/>
        </w:rPr>
        <w:t xml:space="preserve">CME successfully introduced 24/7 trading of crypto futures in Q2, with $1.5B+ traded over the first 8 weekends. → </w:t>
      </w:r>
      <w:r>
        <w:rPr>
          <w:rFonts w:ascii="Calibri" w:hAnsi="Calibri"/>
          <w:b/>
          <w:color w:val="525866"/>
          <w:sz w:val="22"/>
        </w:rPr>
        <w:t>Read-through for NDAQ’s December 6, 2026 23/5 trading launch — early demand signals are encouraging.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Moody’s Corporation (Q2 2026 Earnings — July 22, 2026) — Capital Markets Activity &amp; Data Analytics Read-Through</w:t>
      </w:r>
    </w:p>
    <w:p>
      <w:r>
        <w:rPr>
          <w:rFonts w:ascii="Calibri" w:hAnsi="Calibri"/>
          <w:b/>
          <w:color w:val="525866"/>
          <w:sz w:val="22"/>
        </w:rPr>
        <w:t xml:space="preserve">Relevance to NDAQ: </w:t>
      </w:r>
      <w:r>
        <w:rPr>
          <w:rFonts w:ascii="Calibri" w:hAnsi="Calibri"/>
          <w:color w:val="525866"/>
          <w:sz w:val="22"/>
        </w:rPr>
        <w:t>MCO’s commentary on capital markets activity, AI-driven data demand, and ARR growth provides a read-through for NDAQ’s listings environment, financial crime management technology, and broader fintech ARR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Strong capital markets rebound in Q2: </w:t>
      </w:r>
      <w:r>
        <w:rPr>
          <w:rFonts w:ascii="Calibri" w:hAnsi="Calibri"/>
          <w:color w:val="525866"/>
          <w:sz w:val="22"/>
        </w:rPr>
        <w:t xml:space="preserve">MCO reported 15% enterprise revenue growth, with MIS transaction revenue up 34% and more than $2 trillion of debt rated for the second consecutive quarter. Broad-based strength across all asset classes, powered by AI-related investment, private credit, digital finance, and energy transition. → </w:t>
      </w:r>
      <w:r>
        <w:rPr>
          <w:rFonts w:ascii="Calibri" w:hAnsi="Calibri"/>
          <w:b/>
          <w:color w:val="525866"/>
          <w:sz w:val="22"/>
        </w:rPr>
        <w:t>Constructive capital markets backdrop supports NDAQ’s listings and IPO pipeline.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Hyperscaler issuance exceeding forecasts: </w:t>
      </w:r>
      <w:r>
        <w:rPr>
          <w:rFonts w:ascii="Calibri" w:hAnsi="Calibri"/>
          <w:color w:val="525866"/>
          <w:sz w:val="22"/>
        </w:rPr>
        <w:t xml:space="preserve">Hyperscalers have already exceeded MCO’s 2026 forecast for issuance, issuing more debt this year than in the last three years combined. Hyperscaler CapEx expected to approach $800B in 2026. → </w:t>
      </w:r>
      <w:r>
        <w:rPr>
          <w:rFonts w:ascii="Calibri" w:hAnsi="Calibri"/>
          <w:b/>
          <w:color w:val="525866"/>
          <w:sz w:val="22"/>
        </w:rPr>
        <w:t>AI infrastructure investment cycle is a sustained tailwind for capital markets activity and NDAQ’s listings franchise.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Moody’s Analytics ARR growing ~9% YoY: </w:t>
      </w:r>
      <w:r>
        <w:rPr>
          <w:rFonts w:ascii="Calibri" w:hAnsi="Calibri"/>
          <w:color w:val="525866"/>
          <w:sz w:val="22"/>
        </w:rPr>
        <w:t xml:space="preserve">MA ARR reached ~$3.7B, up ~9% YoY, with 95% trailing 12-month retention. Decision Solutions (KYC, banking, insurance) delivered 10%+ ARR growth. → </w:t>
      </w:r>
      <w:r>
        <w:rPr>
          <w:rFonts w:ascii="Calibri" w:hAnsi="Calibri"/>
          <w:b/>
          <w:color w:val="525866"/>
          <w:sz w:val="22"/>
        </w:rPr>
        <w:t>Validates the structural demand for financial data and analytics solutions; comparable to NDAQ’s fintech ARR growth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AI-powered compliance reducing false positives by ~50%: </w:t>
      </w:r>
      <w:r>
        <w:rPr>
          <w:rFonts w:ascii="Calibri" w:hAnsi="Calibri"/>
          <w:color w:val="525866"/>
          <w:sz w:val="22"/>
        </w:rPr>
        <w:t xml:space="preserve">MCO’s AI-powered screening solutions are helping drive ~50% reduction in false positive alerts. Over 630M entities in MCO’s data estate. → </w:t>
      </w:r>
      <w:r>
        <w:rPr>
          <w:rFonts w:ascii="Calibri" w:hAnsi="Calibri"/>
          <w:b/>
          <w:color w:val="525866"/>
          <w:sz w:val="22"/>
        </w:rPr>
        <w:t>Directly validates NDAQ’s Verafin value proposition (Surveillance Calibration Copilot, agentic AI workers).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H2 2026 setup described as “meaningfully better, lower risk”: </w:t>
      </w:r>
      <w:r>
        <w:rPr>
          <w:rFonts w:ascii="Calibri" w:hAnsi="Calibri"/>
          <w:color w:val="525866"/>
          <w:sz w:val="22"/>
        </w:rPr>
        <w:t xml:space="preserve">MCO management noted the planned recovery in issuance activity landed earlier than expected in Q2, de-risking H2. Potential tailwinds include sustained M&amp;A pickup, hyperscaler issuance running hotter, and a rate cut. → </w:t>
      </w:r>
      <w:r>
        <w:rPr>
          <w:rFonts w:ascii="Calibri" w:hAnsi="Calibri"/>
          <w:b/>
          <w:color w:val="525866"/>
          <w:sz w:val="22"/>
        </w:rPr>
        <w:t>Positive macro read-through for NDAQ’s listings and capital markets technology businesses.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Guidance raised: </w:t>
      </w:r>
      <w:r>
        <w:rPr>
          <w:rFonts w:ascii="Calibri" w:hAnsi="Calibri"/>
          <w:color w:val="525866"/>
          <w:sz w:val="22"/>
        </w:rPr>
        <w:t xml:space="preserve">MCO raised adjusted diluted EPS guidance midpoint to $16.75 (12% growth at midpoint) and raised share repurchase guidance to $3B for 2026. → </w:t>
      </w:r>
      <w:r>
        <w:rPr>
          <w:rFonts w:ascii="Calibri" w:hAnsi="Calibri"/>
          <w:b/>
          <w:color w:val="525866"/>
          <w:sz w:val="22"/>
        </w:rPr>
        <w:t>Peer confidence in the operating environment is a positive signal for NDAQ’s own earnings trajectory.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Cboe Global Markets (Q1 2026 Earnings — May 1, 2026) — Options Volumes &amp; Data Read-Through (Q2 Forward Guidance)</w:t>
      </w:r>
    </w:p>
    <w:p>
      <w:r>
        <w:rPr>
          <w:rFonts w:ascii="Calibri" w:hAnsi="Calibri"/>
          <w:b/>
          <w:color w:val="525866"/>
          <w:sz w:val="22"/>
        </w:rPr>
        <w:t xml:space="preserve">Relevance to NDAQ: </w:t>
      </w:r>
      <w:r>
        <w:rPr>
          <w:rFonts w:ascii="Calibri" w:hAnsi="Calibri"/>
          <w:color w:val="525866"/>
          <w:sz w:val="22"/>
        </w:rPr>
        <w:t>Cboe’s commentary on options volumes, data demand, and prediction markets provides a read-through for NDAQ’s equity derivatives and Market Services businesses. Note: Cboe Q1 2026 results are included here because management provided explicit Q2 2026 and full-year 2026 forward guidance.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Record options volumes in Q1 2026 with strong Q2 setup: </w:t>
      </w:r>
      <w:r>
        <w:rPr>
          <w:rFonts w:ascii="Calibri" w:hAnsi="Calibri"/>
          <w:color w:val="525866"/>
          <w:sz w:val="22"/>
        </w:rPr>
        <w:t xml:space="preserve">Cboe’s SPX options averaged just under 5M contracts/day in Q1 (up 34% YoY), with March hitting 5.4M (a new monthly record). Global trading hours volumes rose 32%+ to a record high. → </w:t>
      </w:r>
      <w:r>
        <w:rPr>
          <w:rFonts w:ascii="Calibri" w:hAnsi="Calibri"/>
          <w:b/>
          <w:color w:val="525866"/>
          <w:sz w:val="22"/>
        </w:rPr>
        <w:t>Elevated options activity environment is a direct positive read-through for NDAQ’s index options and equity derivatives volumes in Q2.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Data Vantage growing 19% YoY; full-year guidance low-double-digits: </w:t>
      </w:r>
      <w:r>
        <w:rPr>
          <w:rFonts w:ascii="Calibri" w:hAnsi="Calibri"/>
          <w:color w:val="525866"/>
          <w:sz w:val="22"/>
        </w:rPr>
        <w:t xml:space="preserve">Cboe’s Data Vantage net revenue grew 19% in Q1, with ~85% of growth from new units/sales rather than pricing. Full-year 2026 Data Vantage organic growth guided to low-double-digit range. → </w:t>
      </w:r>
      <w:r>
        <w:rPr>
          <w:rFonts w:ascii="Calibri" w:hAnsi="Calibri"/>
          <w:b/>
          <w:color w:val="525866"/>
          <w:sz w:val="22"/>
        </w:rPr>
        <w:t>Structural demand for exchange data is robust; positive for NDAQ’s market data and data analytics businesses.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Full-year 2026 total organic net revenue growth guided to low-double-digit to mid-teens: </w:t>
      </w:r>
      <w:r>
        <w:rPr>
          <w:rFonts w:ascii="Calibri" w:hAnsi="Calibri"/>
          <w:color w:val="525866"/>
          <w:sz w:val="22"/>
        </w:rPr>
        <w:t xml:space="preserve">Cboe raised its full-year 2026 total organic net revenue growth guidance to low-double-digit to mid-teens range, while lowering adjusted opex guidance by ~$26M at the midpoint. → </w:t>
      </w:r>
      <w:r>
        <w:rPr>
          <w:rFonts w:ascii="Calibri" w:hAnsi="Calibri"/>
          <w:b/>
          <w:color w:val="525866"/>
          <w:sz w:val="22"/>
        </w:rPr>
        <w:t>Peer confidence in the exchange/data revenue environment for 2026 is a positive read-through for NDAQ.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Event contracts and prediction markets: </w:t>
      </w:r>
      <w:r>
        <w:rPr>
          <w:rFonts w:ascii="Calibri" w:hAnsi="Calibri"/>
          <w:color w:val="525866"/>
          <w:sz w:val="22"/>
        </w:rPr>
        <w:t xml:space="preserve">Cboe plans to launch securities-based event contracts (subject to regulatory approval) based on its Mini SPX contract, with longer-term plans to expand to economic and financial indicators. → </w:t>
      </w:r>
      <w:r>
        <w:rPr>
          <w:rFonts w:ascii="Calibri" w:hAnsi="Calibri"/>
          <w:b/>
          <w:color w:val="525866"/>
          <w:sz w:val="22"/>
        </w:rPr>
        <w:t>Validates NDAQ’s own event options strategy; competitive dynamic to watch.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0DTE options driving structural volume growth: </w:t>
      </w:r>
      <w:r>
        <w:rPr>
          <w:rFonts w:ascii="Calibri" w:hAnsi="Calibri"/>
          <w:color w:val="525866"/>
          <w:sz w:val="22"/>
        </w:rPr>
        <w:t xml:space="preserve">~60% of SPX volume is in 0DTE options, with both retail and institutional engagement deepening. Non-0DTE options jumped 26%+ in March as macro uncertainty drove longer-dated hedging demand. → </w:t>
      </w:r>
      <w:r>
        <w:rPr>
          <w:rFonts w:ascii="Calibri" w:hAnsi="Calibri"/>
          <w:b/>
          <w:color w:val="525866"/>
          <w:sz w:val="22"/>
        </w:rPr>
        <w:t>Multi-dimensional options demand (0DTE + longer-dated) is a positive for NDAQ’s options franchise.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ICE (Q1 2026 Earnings — April 30, 2026) — Exchange Data &amp; Fixed Income Read-Through (Q2 Forward Guidance)</w:t>
      </w:r>
    </w:p>
    <w:p>
      <w:r>
        <w:rPr>
          <w:rFonts w:ascii="Calibri" w:hAnsi="Calibri"/>
          <w:b/>
          <w:color w:val="525866"/>
          <w:sz w:val="22"/>
        </w:rPr>
        <w:t xml:space="preserve">Relevance to NDAQ: </w:t>
      </w:r>
      <w:r>
        <w:rPr>
          <w:rFonts w:ascii="Calibri" w:hAnsi="Calibri"/>
          <w:color w:val="525866"/>
          <w:sz w:val="22"/>
        </w:rPr>
        <w:t>ICE’s commentary on exchange data demand, fixed income data, and market conditions provides a read-through for NDAQ’s market data and financial technology businesses. ICE Q1 2026 results included here for Q2 2026 forward guidance.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Record Q1 2026 performance; Q2 opex guidance stable: </w:t>
      </w:r>
      <w:r>
        <w:rPr>
          <w:rFonts w:ascii="Calibri" w:hAnsi="Calibri"/>
          <w:color w:val="525866"/>
          <w:sz w:val="22"/>
        </w:rPr>
        <w:t xml:space="preserve">ICE reported its strongest quarter in company history — net revenues of $3B (up 18%), adjusted EPS of $2.35 (up 37%). Q2 2026 adjusted opex guided to $1.030B–$1.040B, consistent with Q1. → </w:t>
      </w:r>
      <w:r>
        <w:rPr>
          <w:rFonts w:ascii="Calibri" w:hAnsi="Calibri"/>
          <w:b/>
          <w:color w:val="525866"/>
          <w:sz w:val="22"/>
        </w:rPr>
        <w:t>Stable cost structure and record revenues signal a healthy exchange operating environment for Q2.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Exchange data demand at record levels: </w:t>
      </w:r>
      <w:r>
        <w:rPr>
          <w:rFonts w:ascii="Calibri" w:hAnsi="Calibri"/>
          <w:color w:val="525866"/>
          <w:sz w:val="22"/>
        </w:rPr>
        <w:t xml:space="preserve">ICE’s Exchange Data Services and NYSE listings franchise reached a record $405M (up 10% YoY), with Exchange Data and Connectivity Services growing 13%. ICE has doubled its data center capacity since 2020, with Hall 5 sold out and Hall 6 being sold. → </w:t>
      </w:r>
      <w:r>
        <w:rPr>
          <w:rFonts w:ascii="Calibri" w:hAnsi="Calibri"/>
          <w:b/>
          <w:color w:val="525866"/>
          <w:sz w:val="22"/>
        </w:rPr>
        <w:t>Structural demand for exchange data and connectivity is robust; positive for NDAQ’s market data and access businesses.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Fixed income index AUM at record $829B (up 21% YoY): </w:t>
      </w:r>
      <w:r>
        <w:rPr>
          <w:rFonts w:ascii="Calibri" w:hAnsi="Calibri"/>
          <w:color w:val="525866"/>
          <w:sz w:val="22"/>
        </w:rPr>
        <w:t xml:space="preserve">ICE’s index business ended Q1 with a record $829B in ETF AUM, up 21% YoY. Total assets benchmarked to ICE indices now ~$2 trillion. → </w:t>
      </w:r>
      <w:r>
        <w:rPr>
          <w:rFonts w:ascii="Calibri" w:hAnsi="Calibri"/>
          <w:b/>
          <w:color w:val="525866"/>
          <w:sz w:val="22"/>
        </w:rPr>
        <w:t>Broad index AUM growth across the industry is a positive read-through for NDAQ’s index ETP AUM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AI-driven data demand accelerating: </w:t>
      </w:r>
      <w:r>
        <w:rPr>
          <w:rFonts w:ascii="Calibri" w:hAnsi="Calibri"/>
          <w:color w:val="525866"/>
          <w:sz w:val="22"/>
        </w:rPr>
        <w:t xml:space="preserve">ICE’s private global data center network (750+ data sources, 150 trading venues, 24 countries) is benefiting from secular demand trends including higher messaging activity and AI-driven demand for capacity. ICE launched an MCP server for AI access to data. → </w:t>
      </w:r>
      <w:r>
        <w:rPr>
          <w:rFonts w:ascii="Calibri" w:hAnsi="Calibri"/>
          <w:b/>
          <w:color w:val="525866"/>
          <w:sz w:val="22"/>
        </w:rPr>
        <w:t>AI as a data demand driver is a structural tailwind for NDAQ’s market data and financial technology businesses.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Tokenization strategy advancing: </w:t>
      </w:r>
      <w:r>
        <w:rPr>
          <w:rFonts w:ascii="Calibri" w:hAnsi="Calibri"/>
          <w:color w:val="525866"/>
          <w:sz w:val="22"/>
        </w:rPr>
        <w:t xml:space="preserve">NYSE is building a tokenized securities platform combining its Pillar matching engine with blockchain-based settlement for 24/7 trading. ICE signed an MOU with Securitize as the first digital transfer agent. → </w:t>
      </w:r>
      <w:r>
        <w:rPr>
          <w:rFonts w:ascii="Calibri" w:hAnsi="Calibri"/>
          <w:b/>
          <w:color w:val="525866"/>
          <w:sz w:val="22"/>
        </w:rPr>
        <w:t>Competitive read-through for NDAQ’s own tokenization strategy (H1 2027 target); both exchanges are racing toward similar endpoints.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S&amp;P Global (Q1 2026 Earnings — April 28, 2026) — Index Business &amp; Data Analytics Read-Through (Q2 Forward Guidance)</w:t>
      </w:r>
    </w:p>
    <w:p>
      <w:r>
        <w:rPr>
          <w:rFonts w:ascii="Calibri" w:hAnsi="Calibri"/>
          <w:b/>
          <w:color w:val="525866"/>
          <w:sz w:val="22"/>
        </w:rPr>
        <w:t xml:space="preserve">Relevance to NDAQ: </w:t>
      </w:r>
      <w:r>
        <w:rPr>
          <w:rFonts w:ascii="Calibri" w:hAnsi="Calibri"/>
          <w:color w:val="525866"/>
          <w:sz w:val="22"/>
        </w:rPr>
        <w:t>SPGI’s commentary on its Indices business, data analytics demand, and AI monetization provides a read-through for NDAQ’s Capital Access Platforms and financial technology businesses. SPGI Q1 2026 results included here for Q2 2026 forward guidance.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Indices revenue grew 17% in Q1; Q2 expected to remain robust: </w:t>
      </w:r>
      <w:r>
        <w:rPr>
          <w:rFonts w:ascii="Calibri" w:hAnsi="Calibri"/>
          <w:color w:val="525866"/>
          <w:sz w:val="22"/>
        </w:rPr>
        <w:t xml:space="preserve">SPGI’s Indices revenue grew 17% in Q1 with double-digit growth across all business lines. Asset-linked fees grew 18%, driven by equity market appreciation and net inflows. Q2 guidance calls for continued robust growth before deceleration in H2 due to tougher comps. → </w:t>
      </w:r>
      <w:r>
        <w:rPr>
          <w:rFonts w:ascii="Calibri" w:hAnsi="Calibri"/>
          <w:b/>
          <w:color w:val="525866"/>
          <w:sz w:val="22"/>
        </w:rPr>
        <w:t>Strong index revenue environment in Q2 is a direct positive read-through for NDAQ’s Capital Access Platforms.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ETD revenue up 18% in Q1 on strong SPX volumes: </w:t>
      </w:r>
      <w:r>
        <w:rPr>
          <w:rFonts w:ascii="Calibri" w:hAnsi="Calibri"/>
          <w:color w:val="525866"/>
          <w:sz w:val="22"/>
        </w:rPr>
        <w:t xml:space="preserve">SPGI’s Exchange-Traded Derivatives revenue grew 18% in Q1, driven by strong SPX volumes. SPGI noted SPX “continues to demonstrate the natural hedge we have in this business during times of geopolitical and macroeconomic disruptions.” → </w:t>
      </w:r>
      <w:r>
        <w:rPr>
          <w:rFonts w:ascii="Calibri" w:hAnsi="Calibri"/>
          <w:b/>
          <w:color w:val="525866"/>
          <w:sz w:val="22"/>
        </w:rPr>
        <w:t>Elevated SPX derivatives volumes benefit NDAQ’s index options business (NDAQ holds the Nasdaq-100 derivatives franchise).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AI customers growing ACV 30%+ faster than non-AI customers: </w:t>
      </w:r>
      <w:r>
        <w:rPr>
          <w:rFonts w:ascii="Calibri" w:hAnsi="Calibri"/>
          <w:color w:val="525866"/>
          <w:sz w:val="22"/>
        </w:rPr>
        <w:t xml:space="preserve">SPGI reported ACV growth among AI customers is 30% higher in Market Intelligence and double the growth rate in Energy vs. non-AI customers. Clients willing to pay 35-45% more at renewal for AI-ready data. → </w:t>
      </w:r>
      <w:r>
        <w:rPr>
          <w:rFonts w:ascii="Calibri" w:hAnsi="Calibri"/>
          <w:b/>
          <w:color w:val="525866"/>
          <w:sz w:val="22"/>
        </w:rPr>
        <w:t>AI as a data monetization driver validates NDAQ’s strategy of embedding AI into financial technology products.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Full-year 2026 guidance reiterated at 6-8% organic revenue growth: </w:t>
      </w:r>
      <w:r>
        <w:rPr>
          <w:rFonts w:ascii="Calibri" w:hAnsi="Calibri"/>
          <w:color w:val="525866"/>
          <w:sz w:val="22"/>
        </w:rPr>
        <w:t xml:space="preserve">SPGI reiterated FY2026 organic constant currency revenue growth guidance of 6-8% and 50-75bps of margin expansion. Adjusted EPS guidance unchanged. → </w:t>
      </w:r>
      <w:r>
        <w:rPr>
          <w:rFonts w:ascii="Calibri" w:hAnsi="Calibri"/>
          <w:b/>
          <w:color w:val="525866"/>
          <w:sz w:val="22"/>
        </w:rPr>
        <w:t>Peer confidence in the 2026 operating environment is a positive signal for NDAQ’s own FY2026 trajectory.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Private credit driving incremental data demand: </w:t>
      </w:r>
      <w:r>
        <w:rPr>
          <w:rFonts w:ascii="Calibri" w:hAnsi="Calibri"/>
          <w:color w:val="525866"/>
          <w:sz w:val="22"/>
        </w:rPr>
        <w:t xml:space="preserve">SPGI noted private credit revenues up 25%+ in Q1, with increased scrutiny driving demand for high-quality independent opinions. → </w:t>
      </w:r>
      <w:r>
        <w:rPr>
          <w:rFonts w:ascii="Calibri" w:hAnsi="Calibri"/>
          <w:b/>
          <w:color w:val="525866"/>
          <w:sz w:val="22"/>
        </w:rPr>
        <w:t>Private credit growth is a structural tailwind for financial data and analytics businesses, including NDAQ’s AxiomSL regulatory technology.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8. 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Insider activity since Q1 earnings is dominated by routine 10b5-1 planned sales and one notable open-market purchase by Investor AB (10% owner). </w:t>
      </w:r>
      <w:r>
        <w:rPr>
          <w:rFonts w:ascii="Calibri" w:hAnsi="Calibri"/>
          <w:b/>
          <w:color w:val="525866"/>
          <w:sz w:val="22"/>
        </w:rPr>
        <w:t>No discretionary open-market selling by executives</w:t>
      </w:r>
      <w:r>
        <w:rPr>
          <w:rFonts w:ascii="Calibri" w:hAnsi="Calibri"/>
          <w:color w:val="525866"/>
          <w:sz w:val="22"/>
        </w:rPr>
        <w:t xml:space="preserve"> — the absence of opportunistic insider selling into the post-earnings rally is a mild positive signal.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Shares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Date</w:t>
            </w:r>
          </w:p>
        </w:tc>
        <w:tc>
          <w:tcPr>
            <w:tcW w:type="dxa" w:w="144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INVESTOR AB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10% Owner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Open Market Buy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56,782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Jun 11,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Discretionary purchase by major strategic shareholder; indirect ownership; notable given stock was near recent lows (~$86-87 range)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Smith, Bryan Everard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EVP, Chief People Officer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10b5-1 Planned Sale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3,000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Jul 1,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Pre-planned 10b5-1 sale; routine; second consecutive monthly sale of same size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Smith, Bryan Everard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EVP, Chief People Officer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10b5-1 Planned Sale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3,000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Jun 11,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Pre-planned 10b5-1 sale; routine; consistent with prior month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Griggs, PC Nelson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President, Capital Access Platforms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5,093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May 18,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Discretionary sale; not flagged as 10b5-1; modest size relative to 233,798 shares retained; no clear negative signal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Peterson, Bradley J.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EVP, Chief Information Officer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7,710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Apr 28,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Discretionary sale shortly after Q1 earnings; not flagged as 10b5-1; retains 141,035 shares; likely tax-related or diversification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Cohen, Tal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President, Market Platforms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15,518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Apr 27,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Largest single sale in the period; not flagged as 10b5-1; retains 215,208 shares; sold at ~$91 shortly after Q1 beat; worth monitoring but not alarming given large retained position</w:t>
            </w:r>
          </w:p>
        </w:tc>
      </w:tr>
      <w:tr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Daly, Michelle Lynn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SVP, Controller &amp; PAO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1,323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Apr 24, 2026</w:t>
            </w:r>
          </w:p>
        </w:tc>
        <w:tc>
          <w:tcPr>
            <w:tcW w:type="dxa" w:w="1440"/>
          </w:tcPr>
          <w:p>
            <w:r>
              <w:rPr>
                <w:rFonts w:ascii="Calibri" w:hAnsi="Calibri"/>
                <w:sz w:val="22"/>
              </w:rPr>
              <w:t>Small discretionary sale; not flagged as 10b5-1; retains 10,089 shares; likely tax withholding on vested RSUs</w:t>
            </w:r>
          </w:p>
        </w:tc>
      </w:tr>
    </w:tbl>
    <w:p>
      <w:r>
        <w:rPr>
          <w:rFonts w:ascii="Calibri" w:hAnsi="Calibri"/>
          <w:color w:val="525866"/>
          <w:sz w:val="22"/>
        </w:rPr>
        <w:t>The most notable transaction is Investor AB’s open-market purchase of 56,782 shares on June 11, 2026 — a date when NDAQ was trading near recent lows (~$86-87). As a 10% strategic owner, Investor AB’s decision to add to its position at depressed prices is a constructive signal. The cluster of executive sales in late April (Cohen, Peterson, Daly) immediately following the Q1 beat is typical post-earnings behavior and not a negative signal given the large retained positions. No clustered discretionary selling by multiple insiders at current price levels.</w:t>
      </w:r>
    </w:p>
    <w:p>
      <w:r>
        <w:rPr>
          <w:rFonts w:ascii="Calibri" w:hAnsi="Calibri"/>
          <w:i/>
          <w:color w:val="525866"/>
          <w:sz w:val="22"/>
        </w:rPr>
        <w:t>Source: SEC Form 4 Filings Database (Insider Transaction Data). Filing date window: April 23, 2026 – July 22, 2026.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