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NEE before writing the preview. Let me gather recent earnings materials, news, and price data.Let me read the most recent earnings materials and gather relevant news.Let me get the year-ago Q2 base and recent news/developments.Let me check for recent news and analyst expectations.# NextEra Energy (NEE) — Q2 2026 Earnings Preview</w:t>
      </w:r>
    </w:p>
    <w:bookmarkStart w:id="9" w:name="Xd4127290bc7ccdb7118f91ac36128de293f861d"/>
    <w:p>
      <w:pPr>
        <w:pStyle w:val="Heading3"/>
      </w:pPr>
      <w:r>
        <w:t xml:space="preserve">Reports Friday, July 24, 2026 (before market open) | 2026Q2 Earnings Call, 9:00 a.m. ET</w:t>
      </w:r>
    </w:p>
    <w:p>
      <w:r>
        <w:pict>
          <v:rect style="width:0;height:1.5pt" o:hralign="center" o:hrstd="t" o:hr="t"/>
        </w:pict>
      </w:r>
    </w:p>
    <w:bookmarkEnd w:id="9"/>
    <w:bookmarkStart w:id="10" w:name="the-setup"/>
    <w:p>
      <w:pPr>
        <w:pStyle w:val="Heading2"/>
      </w:pPr>
      <w:r>
        <w:t xml:space="preserve">The Setup</w:t>
      </w:r>
    </w:p>
    <w:p>
      <w:pPr>
        <w:pStyle w:val="FirstParagraph"/>
      </w:pPr>
      <w:r>
        <w:t xml:space="preserve">NextEra heads into Q2 as a story that has fundamentally re-rated from "the largest renewables developer" to "the scaled builder of</w:t>
      </w:r>
      <w:r>
        <w:t xml:space="preserve"> </w:t>
      </w:r>
      <w:r>
        <w:rPr>
          <w:i/>
          <w:iCs/>
        </w:rPr>
        <w:t xml:space="preserve">all</w:t>
      </w:r>
      <w:r>
        <w:t xml:space="preserve"> </w:t>
      </w:r>
      <w:r>
        <w:t xml:space="preserve">forms of power for the AI/data-center demand super-cycle." Management's whole narrative now centers on</w:t>
      </w:r>
      <w:r>
        <w:t xml:space="preserve"> </w:t>
      </w:r>
      <w:r>
        <w:rPr>
          <w:b/>
          <w:bCs/>
        </w:rPr>
        <w:t xml:space="preserve">"speed to power"</w:t>
      </w:r>
      <w:r>
        <w:t xml:space="preserve"> </w:t>
      </w:r>
      <w:r>
        <w:t xml:space="preserve">and its ability to build gas, nuclear, solar, storage, and transmission off one common platform. The quarter is less about the EPS print — which is highly predictable — and more about</w:t>
      </w:r>
      <w:r>
        <w:t xml:space="preserve"> </w:t>
      </w:r>
      <w:r>
        <w:rPr>
          <w:b/>
          <w:bCs/>
        </w:rPr>
        <w:t xml:space="preserve">backlog momentum, the U.S.–Japan gas mega-deal, and FPL large-load traction.</w:t>
      </w:r>
    </w:p>
    <w:p>
      <w:pPr>
        <w:pStyle w:val="BodyText"/>
      </w:pPr>
      <w:r>
        <w:rPr>
          <w:b/>
          <w:bCs/>
        </w:rPr>
        <w:t xml:space="preserve">Consensus for Q2 2026:</w:t>
      </w:r>
      <w:r>
        <w:t xml:space="preserve"> </w:t>
      </w:r>
      <w:r>
        <w:t xml:space="preserve">roughly</w:t>
      </w:r>
      <w:r>
        <w:t xml:space="preserve"> </w:t>
      </w:r>
      <m:oMath>
        <m:r>
          <m:t>1.08</m:t>
        </m:r>
        <m:r>
          <m:rPr>
            <m:sty m:val="p"/>
          </m:rPr>
          <m:t>–</m:t>
        </m:r>
      </m:oMath>
      <w:r>
        <w:rPr>
          <w:b/>
          <w:bCs/>
        </w:rPr>
        <w:t xml:space="preserve">1.11 adjusted EPS</w:t>
      </w:r>
      <w:r>
        <w:t xml:space="preserve"> </w:t>
      </w:r>
      <w:r>
        <w:t xml:space="preserve">(Zacks</w:t>
      </w:r>
      <w:r>
        <w:t xml:space="preserve"> </w:t>
      </w:r>
      <m:oMath>
        <m:r>
          <m:t>1.08</m:t>
        </m:r>
        <m:r>
          <m:rPr>
            <m:sty m:val="p"/>
          </m:rPr>
          <m:t>;</m:t>
        </m:r>
        <m:r>
          <m:t>S</m:t>
        </m:r>
        <m:r>
          <m:t>t</m:t>
        </m:r>
        <m:r>
          <m:t>r</m:t>
        </m:r>
        <m:r>
          <m:t>e</m:t>
        </m:r>
        <m:r>
          <m:t>e</m:t>
        </m:r>
        <m:r>
          <m:t>t</m:t>
        </m:r>
        <m:r>
          <m:t>c</m:t>
        </m:r>
        <m:r>
          <m:t>o</m:t>
        </m:r>
        <m:r>
          <m:t>m</m:t>
        </m:r>
        <m:r>
          <m:t>p</m:t>
        </m:r>
        <m:r>
          <m:t>o</m:t>
        </m:r>
        <m:r>
          <m:t>s</m:t>
        </m:r>
        <m:r>
          <m:t>i</m:t>
        </m:r>
        <m:r>
          <m:t>t</m:t>
        </m:r>
        <m:r>
          <m:t>e</m:t>
        </m:r>
        <m:r>
          <m:t> </m:t>
        </m:r>
      </m:oMath>
      <w:r>
        <w:t xml:space="preserve">1.10–</w:t>
      </w:r>
      <m:oMath>
        <m:r>
          <m:t>1.11</m:t>
        </m:r>
        <m:r>
          <m:rPr>
            <m:sty m:val="p"/>
          </m:rPr>
          <m:t>)</m:t>
        </m:r>
        <m:r>
          <m:rPr>
            <m:sty m:val="p"/>
          </m:rPr>
          <m:t>,</m:t>
        </m:r>
        <m:r>
          <m:t>o</m:t>
        </m:r>
        <m:r>
          <m:t>n</m:t>
        </m:r>
        <m:r>
          <m:t>r</m:t>
        </m:r>
        <m:r>
          <m:t>e</m:t>
        </m:r>
        <m:r>
          <m:t>v</m:t>
        </m:r>
        <m:r>
          <m:t>e</m:t>
        </m:r>
        <m:r>
          <m:t>n</m:t>
        </m:r>
        <m:r>
          <m:t>u</m:t>
        </m:r>
        <m:r>
          <m:t>e</m:t>
        </m:r>
        <m:r>
          <m:t>o</m:t>
        </m:r>
        <m:r>
          <m:t>f</m:t>
        </m:r>
        <m:r>
          <m:t> </m:t>
        </m:r>
      </m:oMath>
      <w:r>
        <w:t xml:space="preserve">8.0–</w:t>
      </w:r>
      <m:oMath>
        <m:r>
          <m:t>8.2</m:t>
        </m:r>
        <m:r>
          <m:t>B</m:t>
        </m:r>
        <m:r>
          <m:rPr>
            <m:sty m:val="p"/>
          </m:rPr>
          <m:t>(</m:t>
        </m:r>
        <m:r>
          <m:rPr>
            <m:sty m:val="p"/>
          </m:rPr>
          <m:t>+</m:t>
        </m:r>
        <m:r>
          <m:t> </m:t>
        </m:r>
        <m:r>
          <m:t>22</m:t>
        </m:r>
      </m:oMath>
      <w:r>
        <w:t xml:space="preserve">1.02–</w:t>
      </w:r>
      <m:oMath>
        <m:r>
          <m:t>1.13</m:t>
        </m:r>
        <m:r>
          <m:rPr>
            <m:sty m:val="p"/>
          </m:rPr>
          <m:t>)</m:t>
        </m:r>
        <m:r>
          <m:rPr>
            <m:sty m:val="p"/>
          </m:rPr>
          <m:t>.</m:t>
        </m:r>
        <m:r>
          <m:t>T</m:t>
        </m:r>
        <m:r>
          <m:t>h</m:t>
        </m:r>
        <m:r>
          <m:t>a</m:t>
        </m:r>
        <m:r>
          <m:t>t</m:t>
        </m:r>
        <m:r>
          <m:t>c</m:t>
        </m:r>
        <m:r>
          <m:t>o</m:t>
        </m:r>
        <m:r>
          <m:t>m</m:t>
        </m:r>
        <m:r>
          <m:t>p</m:t>
        </m:r>
        <m:r>
          <m:t>a</m:t>
        </m:r>
        <m:r>
          <m:t>r</m:t>
        </m:r>
        <m:r>
          <m:t>e</m:t>
        </m:r>
        <m:r>
          <m:t>s</m:t>
        </m:r>
        <m:r>
          <m:t>t</m:t>
        </m:r>
        <m:r>
          <m:t>o</m:t>
        </m:r>
        <m:r>
          <m:rPr>
            <m:sty m:val="p"/>
          </m:rPr>
          <m:t>*</m:t>
        </m:r>
        <m:r>
          <m:rPr>
            <m:sty m:val="p"/>
          </m:rPr>
          <m:t>*</m:t>
        </m:r>
      </m:oMath>
      <w:r>
        <w:t xml:space="preserve">1.05 adjusted EPS in Q2 2025**, implying ~3–6% growth — a deceleration optically vs. Q1's +10%, largely a function of tougher comps and financing/customer-supply timing rather than fundamentals.</w:t>
      </w:r>
    </w:p>
    <w:p>
      <w:r>
        <w:pict>
          <v:rect style="width:0;height:1.5pt" o:hralign="center" o:hrstd="t" o:hr="t"/>
        </w:pict>
      </w:r>
    </w:p>
    <w:bookmarkEnd w:id="10"/>
    <w:bookmarkStart w:id="11" w:name="what-happened-last-quarter-the-baseline"/>
    <w:p>
      <w:pPr>
        <w:pStyle w:val="Heading2"/>
      </w:pPr>
      <w:r>
        <w:t xml:space="preserve">What Happened Last Quarter (the baseline)</w:t>
      </w:r>
    </w:p>
    <w:p>
      <w:pPr>
        <w:pStyle w:val="FirstParagraph"/>
      </w:pPr>
      <w:r>
        <w:t xml:space="preserve">Q1 2026 set a strong tone:</w:t>
      </w:r>
      <w:r>
        <w:t xml:space="preserve"> </w:t>
      </w:r>
      <w:r>
        <w:rPr>
          <w:b/>
          <w:bCs/>
        </w:rPr>
        <w:t xml:space="preserve">adjusted EPS of $1.09, up 10% Y/Y</w:t>
      </w:r>
      <w:r>
        <w:t xml:space="preserve">, with contributions of:</w:t>
      </w:r>
    </w:p>
    <w:p>
      <w:pPr>
        <w:pStyle w:val="Compact"/>
        <w:numPr>
          <w:ilvl w:val="0"/>
          <w:numId w:val="1001"/>
        </w:numPr>
      </w:pPr>
      <w:r>
        <w:rPr>
          <w:b/>
          <w:bCs/>
        </w:rPr>
        <w:t xml:space="preserve">FPL: $0.70</w:t>
      </w:r>
      <w:r>
        <w:t xml:space="preserve"> </w:t>
      </w:r>
      <w:r>
        <w:t xml:space="preserve">(vs. $0.64), driven by ~8.8% growth in regulatory capital employed</w:t>
      </w:r>
    </w:p>
    <w:p>
      <w:pPr>
        <w:pStyle w:val="Compact"/>
        <w:numPr>
          <w:ilvl w:val="0"/>
          <w:numId w:val="1001"/>
        </w:numPr>
      </w:pPr>
      <w:r>
        <w:rPr>
          <w:b/>
          <w:bCs/>
        </w:rPr>
        <w:t xml:space="preserve">NEER: $0.50</w:t>
      </w:r>
      <w:r>
        <w:t xml:space="preserve"> </w:t>
      </w:r>
      <w:r>
        <w:t xml:space="preserve">(vs. $0.44), +14% adjusted, led by new investments and transmission</w:t>
      </w:r>
    </w:p>
    <w:p>
      <w:pPr>
        <w:pStyle w:val="Compact"/>
        <w:numPr>
          <w:ilvl w:val="0"/>
          <w:numId w:val="1001"/>
        </w:numPr>
      </w:pPr>
      <w:r>
        <w:rPr>
          <w:b/>
          <w:bCs/>
        </w:rPr>
        <w:t xml:space="preserve">Corporate &amp; Other: $(0.11)</w:t>
      </w:r>
    </w:p>
    <w:p>
      <w:pPr>
        <w:pStyle w:val="FirstParagraph"/>
      </w:pPr>
      <w:r>
        <w:t xml:space="preserve">Management</w:t>
      </w:r>
      <w:r>
        <w:t xml:space="preserve"> </w:t>
      </w:r>
      <w:r>
        <w:rPr>
          <w:b/>
          <w:bCs/>
        </w:rPr>
        <w:t xml:space="preserve">reaffirmed 2026 adjusted EPS guidance of</w:t>
      </w:r>
      <w:r>
        <w:rPr>
          <w:b/>
          <w:bCs/>
        </w:rPr>
        <w:t xml:space="preserve"> </w:t>
      </w:r>
      <m:oMath>
        <m:r>
          <m:t>3.92</m:t>
        </m:r>
        <m:r>
          <m:rPr>
            <m:sty m:val="p"/>
          </m:rPr>
          <m:t>–</m:t>
        </m:r>
      </m:oMath>
      <w:r>
        <w:rPr>
          <w:b/>
          <w:bCs/>
        </w:rPr>
        <w:t xml:space="preserve">4.02 and said it is targeting the high end</w:t>
      </w:r>
      <w:r>
        <w:t xml:space="preserve">, plus the 8%+ EPS CAGR through 2032 (and 2032–2035) off the 2025 base of $3.71, and dividend growth of ~10%/yr through 2026, then ~6%/yr through 2028.</w:t>
      </w:r>
    </w:p>
    <w:p>
      <w:r>
        <w:pict>
          <v:rect style="width:0;height:1.5pt" o:hralign="center" o:hrstd="t" o:hr="t"/>
        </w:pict>
      </w:r>
    </w:p>
    <w:bookmarkEnd w:id="11"/>
    <w:bookmarkStart w:id="18" w:name="key-things-to-watch-on-the-call"/>
    <w:p>
      <w:pPr>
        <w:pStyle w:val="Heading2"/>
      </w:pPr>
      <w:r>
        <w:t xml:space="preserve">Key Things to Watch on the Call</w:t>
      </w:r>
    </w:p>
    <w:bookmarkStart w:id="12" w:name="X1d11a40bc29fd519235a959b4fd6247fbc2582c"/>
    <w:p>
      <w:pPr>
        <w:pStyle w:val="Heading3"/>
      </w:pPr>
      <w:r>
        <w:t xml:space="preserve">1. Renewables/storage backlog — is 4 GW/quarter the new run-rate?</w:t>
      </w:r>
    </w:p>
    <w:p>
      <w:pPr>
        <w:pStyle w:val="FirstParagraph"/>
      </w:pPr>
      <w:r>
        <w:t xml:space="preserve">This is the single most important operating metric. Backlog origination has stair-stepped up: ~3.2 GW in Q2'25 → a</w:t>
      </w:r>
      <w:r>
        <w:t xml:space="preserve"> </w:t>
      </w:r>
      <w:r>
        <w:rPr>
          <w:b/>
          <w:bCs/>
        </w:rPr>
        <w:t xml:space="preserve">record 4 GW in Q1'26</w:t>
      </w:r>
      <w:r>
        <w:t xml:space="preserve">, pushing total backlog to ~</w:t>
      </w:r>
      <w:r>
        <w:rPr>
          <w:b/>
          <w:bCs/>
        </w:rPr>
        <w:t xml:space="preserve">33 GW</w:t>
      </w:r>
      <w:r>
        <w:t xml:space="preserve">. Management explicitly said Q1's strength was</w:t>
      </w:r>
      <w:r>
        <w:t xml:space="preserve"> </w:t>
      </w:r>
      <w:r>
        <w:rPr>
          <w:i/>
          <w:iCs/>
        </w:rPr>
        <w:t xml:space="preserve">underlying demand, not yet an acceleration</w:t>
      </w:r>
      <w:r>
        <w:t xml:space="preserve"> </w:t>
      </w:r>
      <w:r>
        <w:t xml:space="preserve">ahead of tax-credit roll-offs — and hinted the acceleration is still to come. Watch for:</w:t>
      </w:r>
    </w:p>
    <w:p>
      <w:pPr>
        <w:pStyle w:val="Compact"/>
        <w:numPr>
          <w:ilvl w:val="0"/>
          <w:numId w:val="1002"/>
        </w:numPr>
      </w:pPr>
      <w:r>
        <w:t xml:space="preserve">Another 3.5–4+ GW quarter (would confirm the upcycle)</w:t>
      </w:r>
    </w:p>
    <w:p>
      <w:pPr>
        <w:pStyle w:val="Compact"/>
        <w:numPr>
          <w:ilvl w:val="0"/>
          <w:numId w:val="1002"/>
        </w:numPr>
      </w:pPr>
      <w:r>
        <w:t xml:space="preserve">Battery storage origination (1.3 GW in Q1; the pipeline is &gt;110 GW)</w:t>
      </w:r>
    </w:p>
    <w:p>
      <w:pPr>
        <w:pStyle w:val="Compact"/>
        <w:numPr>
          <w:ilvl w:val="0"/>
          <w:numId w:val="1002"/>
        </w:numPr>
      </w:pPr>
      <w:r>
        <w:t xml:space="preserve">Hyperscaler vs. utility/co-op mix (was ~30/70 in Q1)</w:t>
      </w:r>
    </w:p>
    <w:bookmarkEnd w:id="12"/>
    <w:bookmarkStart w:id="13" w:name="X956d915a005ee6b3980452f933741f8897f2232"/>
    <w:p>
      <w:pPr>
        <w:pStyle w:val="Heading3"/>
      </w:pPr>
      <w:r>
        <w:t xml:space="preserve">2. The U.S.–Japan gas mega-deal — definitive agreements are the catalyst</w:t>
      </w:r>
    </w:p>
    <w:p>
      <w:pPr>
        <w:pStyle w:val="FirstParagraph"/>
      </w:pPr>
      <w:r>
        <w:t xml:space="preserve">The DOC selected NEER to</w:t>
      </w:r>
      <w:r>
        <w:t xml:space="preserve"> </w:t>
      </w:r>
      <w:r>
        <w:rPr>
          <w:b/>
          <w:bCs/>
        </w:rPr>
        <w:t xml:space="preserve">develop, build and operate 9.5 GW of new gas generation in Texas and Pennsylvania</w:t>
      </w:r>
      <w:r>
        <w:t xml:space="preserve"> </w:t>
      </w:r>
      <w:r>
        <w:t xml:space="preserve">tied to Japan's $550B U.S. investment commitment. It's a</w:t>
      </w:r>
      <w:r>
        <w:t xml:space="preserve"> </w:t>
      </w:r>
      <w:r>
        <w:rPr>
          <w:b/>
          <w:bCs/>
        </w:rPr>
        <w:t xml:space="preserve">capital-light, fee-based structure</w:t>
      </w:r>
      <w:r>
        <w:t xml:space="preserve"> </w:t>
      </w:r>
      <w:r>
        <w:t xml:space="preserve">(U.S./Japan own the assets; NEER earns development, construction and O&amp;M fees — "essentially infinite" returns on near-zero capital, per CEO Ketchum). On the Q1 call (late April), management guided to</w:t>
      </w:r>
      <w:r>
        <w:t xml:space="preserve"> </w:t>
      </w:r>
      <w:r>
        <w:rPr>
          <w:b/>
          <w:bCs/>
        </w:rPr>
        <w:t xml:space="preserve">definitive agreements "in the next 2–3 months"</w:t>
      </w:r>
      <w:r>
        <w:t xml:space="preserve"> </w:t>
      </w:r>
      <w:r>
        <w:t xml:space="preserve">— meaning they should be landing right around now.</w:t>
      </w:r>
      <w:r>
        <w:t xml:space="preserve"> </w:t>
      </w:r>
      <w:r>
        <w:rPr>
          <w:b/>
          <w:bCs/>
        </w:rPr>
        <w:t xml:space="preserve">Any update, milestone schedule, or signed agreement would be a meaningful positive; a slip would disappoint.</w:t>
      </w:r>
    </w:p>
    <w:bookmarkEnd w:id="13"/>
    <w:bookmarkStart w:id="14" w:name="X980505a756b2e680798e35d1e034a739b8de4c9"/>
    <w:p>
      <w:pPr>
        <w:pStyle w:val="Heading3"/>
      </w:pPr>
      <w:r>
        <w:t xml:space="preserve">3. FPL large-load tariff — first customer signing by year-end?</w:t>
      </w:r>
    </w:p>
    <w:p>
      <w:pPr>
        <w:pStyle w:val="FirstParagraph"/>
      </w:pPr>
      <w:r>
        <w:t xml:space="preserve">FPL has</w:t>
      </w:r>
      <w:r>
        <w:t xml:space="preserve"> </w:t>
      </w:r>
      <w:r>
        <w:rPr>
          <w:b/>
          <w:bCs/>
        </w:rPr>
        <w:t xml:space="preserve">~21 GW of large-load interest, ~12 GW in advanced discussions</w:t>
      </w:r>
      <w:r>
        <w:t xml:space="preserve">, and reiterated it expects</w:t>
      </w:r>
      <w:r>
        <w:t xml:space="preserve"> </w:t>
      </w:r>
      <w:r>
        <w:rPr>
          <w:b/>
          <w:bCs/>
        </w:rPr>
        <w:t xml:space="preserve">at least one large-load customer signed under its tariff by year-end 2026</w:t>
      </w:r>
      <w:r>
        <w:t xml:space="preserve">, with service potentially starting as soon as 2028. Each GW is framed as</w:t>
      </w:r>
      <w:r>
        <w:t xml:space="preserve"> </w:t>
      </w:r>
      <w:r>
        <w:rPr>
          <w:b/>
          <w:bCs/>
        </w:rPr>
        <w:t xml:space="preserve">~</w:t>
      </w:r>
      <m:oMath>
        <m:r>
          <m:t>2</m:t>
        </m:r>
        <m:r>
          <m:t>B</m:t>
        </m:r>
        <m:r>
          <m:t>o</m:t>
        </m:r>
        <m:r>
          <m:t>f</m:t>
        </m:r>
        <m:r>
          <m:t>i</m:t>
        </m:r>
        <m:r>
          <m:t>n</m:t>
        </m:r>
        <m:r>
          <m:t>c</m:t>
        </m:r>
        <m:r>
          <m:t>r</m:t>
        </m:r>
        <m:r>
          <m:t>e</m:t>
        </m:r>
        <m:r>
          <m:t>m</m:t>
        </m:r>
        <m:r>
          <m:t>e</m:t>
        </m:r>
        <m:r>
          <m:t>n</m:t>
        </m:r>
        <m:r>
          <m:t>t</m:t>
        </m:r>
        <m:r>
          <m:t>a</m:t>
        </m:r>
        <m:r>
          <m:t>l</m:t>
        </m:r>
        <m:r>
          <m:t>c</m:t>
        </m:r>
        <m:r>
          <m:t>a</m:t>
        </m:r>
        <m:r>
          <m:t>p</m:t>
        </m:r>
        <m:r>
          <m:t>e</m:t>
        </m:r>
        <m:r>
          <m:t>x</m:t>
        </m:r>
        <m:r>
          <m:t>a</m:t>
        </m:r>
        <m:r>
          <m:t>t</m:t>
        </m:r>
        <m:r>
          <m:t>F</m:t>
        </m:r>
        <m:r>
          <m:t>P</m:t>
        </m:r>
        <m:sSup>
          <m:e>
            <m:r>
              <m:t>L</m:t>
            </m:r>
          </m:e>
          <m:sup>
            <m:r>
              <m:rPr>
                <m:sty m:val="p"/>
              </m:rPr>
              <m:t>′</m:t>
            </m:r>
          </m:sup>
        </m:sSup>
        <m:r>
          <m:t>s</m:t>
        </m:r>
        <m:r>
          <m:t>a</m:t>
        </m:r>
        <m:r>
          <m:t>u</m:t>
        </m:r>
        <m:r>
          <m:t>t</m:t>
        </m:r>
        <m:r>
          <m:t>h</m:t>
        </m:r>
        <m:r>
          <m:t>o</m:t>
        </m:r>
        <m:r>
          <m:t>r</m:t>
        </m:r>
        <m:r>
          <m:t>i</m:t>
        </m:r>
        <m:r>
          <m:t>z</m:t>
        </m:r>
        <m:r>
          <m:t>e</m:t>
        </m:r>
        <m:r>
          <m:t>d</m:t>
        </m:r>
        <m:r>
          <m:t>R</m:t>
        </m:r>
        <m:r>
          <m:t>O</m:t>
        </m:r>
        <m:r>
          <m:t>E</m:t>
        </m:r>
        <m:r>
          <m:rPr>
            <m:sty m:val="p"/>
          </m:rPr>
          <m:t>*</m:t>
        </m:r>
        <m:r>
          <m:rPr>
            <m:sty m:val="p"/>
          </m:rPr>
          <m:t>*</m:t>
        </m:r>
        <m:r>
          <m:rPr>
            <m:sty m:val="p"/>
          </m:rPr>
          <m:t>.</m:t>
        </m:r>
        <m:r>
          <m:t>P</m:t>
        </m:r>
        <m:r>
          <m:t>r</m:t>
        </m:r>
        <m:r>
          <m:t>o</m:t>
        </m:r>
        <m:r>
          <m:t>g</m:t>
        </m:r>
        <m:r>
          <m:t>r</m:t>
        </m:r>
        <m:r>
          <m:t>e</m:t>
        </m:r>
        <m:r>
          <m:t>s</m:t>
        </m:r>
        <m:r>
          <m:t>s</m:t>
        </m:r>
        <m:r>
          <m:t>c</m:t>
        </m:r>
        <m:r>
          <m:t>o</m:t>
        </m:r>
        <m:r>
          <m:t>m</m:t>
        </m:r>
        <m:r>
          <m:t>m</m:t>
        </m:r>
        <m:r>
          <m:t>e</m:t>
        </m:r>
        <m:r>
          <m:t>n</m:t>
        </m:r>
        <m:r>
          <m:t>t</m:t>
        </m:r>
        <m:r>
          <m:t>a</m:t>
        </m:r>
        <m:r>
          <m:t>r</m:t>
        </m:r>
        <m:r>
          <m:t>y</m:t>
        </m:r>
        <m:r>
          <m:t>h</m:t>
        </m:r>
        <m:r>
          <m:t>e</m:t>
        </m:r>
        <m:r>
          <m:t>r</m:t>
        </m:r>
        <m:r>
          <m:t>e</m:t>
        </m:r>
        <m:r>
          <m:t>i</m:t>
        </m:r>
        <m:r>
          <m:t>s</m:t>
        </m:r>
        <m:r>
          <m:t>a</m:t>
        </m:r>
        <m:r>
          <m:t>k</m:t>
        </m:r>
        <m:r>
          <m:t>e</m:t>
        </m:r>
        <m:r>
          <m:t>y</m:t>
        </m:r>
        <m:r>
          <m:t>u</m:t>
        </m:r>
        <m:r>
          <m:t>p</m:t>
        </m:r>
        <m:r>
          <m:t>s</m:t>
        </m:r>
        <m:r>
          <m:t>i</m:t>
        </m:r>
        <m:r>
          <m:t>d</m:t>
        </m:r>
        <m:r>
          <m:t>e</m:t>
        </m:r>
        <m:r>
          <m:t>l</m:t>
        </m:r>
        <m:r>
          <m:t>e</m:t>
        </m:r>
        <m:r>
          <m:t>v</m:t>
        </m:r>
        <m:r>
          <m:t>e</m:t>
        </m:r>
        <m:r>
          <m:t>r</m:t>
        </m:r>
        <m:r>
          <m:t>o</m:t>
        </m:r>
        <m:r>
          <m:t>n</m:t>
        </m:r>
        <m:r>
          <m:t>t</m:t>
        </m:r>
        <m:r>
          <m:t>o</m:t>
        </m:r>
        <m:r>
          <m:t>p</m:t>
        </m:r>
        <m:r>
          <m:t>o</m:t>
        </m:r>
        <m:r>
          <m:t>f</m:t>
        </m:r>
        <m:r>
          <m:t>F</m:t>
        </m:r>
        <m:r>
          <m:t>P</m:t>
        </m:r>
        <m:sSup>
          <m:e>
            <m:r>
              <m:t>L</m:t>
            </m:r>
          </m:e>
          <m:sup>
            <m:r>
              <m:rPr>
                <m:sty m:val="p"/>
              </m:rPr>
              <m:t>′</m:t>
            </m:r>
          </m:sup>
        </m:sSup>
        <m:r>
          <m:t>s</m:t>
        </m:r>
        <m:r>
          <m:t>a</m:t>
        </m:r>
        <m:r>
          <m:t>l</m:t>
        </m:r>
        <m:r>
          <m:t>r</m:t>
        </m:r>
        <m:r>
          <m:t>e</m:t>
        </m:r>
        <m:r>
          <m:t>a</m:t>
        </m:r>
        <m:r>
          <m:t>d</m:t>
        </m:r>
        <m:r>
          <m:t>y</m:t>
        </m:r>
        <m:r>
          <m:rPr>
            <m:sty m:val="p"/>
          </m:rPr>
          <m:t>−</m:t>
        </m:r>
        <m:r>
          <m:t>l</m:t>
        </m:r>
        <m:r>
          <m:t>a</m:t>
        </m:r>
        <m:r>
          <m:t>r</m:t>
        </m:r>
        <m:r>
          <m:t>g</m:t>
        </m:r>
        <m:r>
          <m:t>e</m:t>
        </m:r>
        <m:r>
          <m:rPr>
            <m:sty m:val="p"/>
          </m:rPr>
          <m:t>*</m:t>
        </m:r>
        <m:r>
          <m:rPr>
            <m:sty m:val="p"/>
          </m:rPr>
          <m:t>*</m:t>
        </m:r>
      </m:oMath>
      <w:r>
        <w:rPr>
          <w:b/>
          <w:bCs/>
        </w:rPr>
        <w:t xml:space="preserve">90–$100B 2032 capex plan</w:t>
      </w:r>
      <w:r>
        <w:t xml:space="preserve">.</w:t>
      </w:r>
    </w:p>
    <w:bookmarkEnd w:id="14"/>
    <w:bookmarkStart w:id="15" w:name="X5bd87cc857f8d03f1c0e079349c95a65322805e"/>
    <w:p>
      <w:pPr>
        <w:pStyle w:val="Heading3"/>
      </w:pPr>
      <w:r>
        <w:t xml:space="preserve">4. FPL capex trajectory &amp; the rate settlement</w:t>
      </w:r>
    </w:p>
    <w:p>
      <w:pPr>
        <w:pStyle w:val="FirstParagraph"/>
      </w:pPr>
      <w:r>
        <w:t xml:space="preserve">FPL raised its</w:t>
      </w:r>
      <w:r>
        <w:t xml:space="preserve"> </w:t>
      </w:r>
      <w:r>
        <w:rPr>
          <w:b/>
          <w:bCs/>
        </w:rPr>
        <w:t xml:space="preserve">2026 capex to</w:t>
      </w:r>
      <w:r>
        <w:rPr>
          <w:b/>
          <w:bCs/>
        </w:rPr>
        <w:t xml:space="preserve"> </w:t>
      </w:r>
      <m:oMath>
        <m:r>
          <m:t>12</m:t>
        </m:r>
        <m:r>
          <m:rPr>
            <m:sty m:val="p"/>
          </m:rPr>
          <m:t>–</m:t>
        </m:r>
      </m:oMath>
      <w:r>
        <w:rPr>
          <w:b/>
          <w:bCs/>
        </w:rPr>
        <w:t xml:space="preserve">13B</w:t>
      </w:r>
      <w:r>
        <w:t xml:space="preserve"> </w:t>
      </w:r>
      <w:r>
        <w:t xml:space="preserve">(up from ~</w:t>
      </w:r>
      <m:oMath>
        <m:r>
          <m:t>10</m:t>
        </m:r>
        <m:r>
          <m:rPr>
            <m:sty m:val="p"/>
          </m:rPr>
          <m:t>–</m:t>
        </m:r>
      </m:oMath>
      <w:r>
        <w:t xml:space="preserve">11B at the analyst day) — partly pulling forward locked-in solar to sidestep tariffs. Watch whether this signals a structurally higher rate-base growth path. FPL is operating under a</w:t>
      </w:r>
      <w:r>
        <w:t xml:space="preserve"> </w:t>
      </w:r>
      <w:r>
        <w:rPr>
          <w:b/>
          <w:bCs/>
        </w:rPr>
        <w:t xml:space="preserve">new four-year rate settlement effective Jan 2026</w:t>
      </w:r>
      <w:r>
        <w:t xml:space="preserve">, reported ROE was ~11.7%, and it still holds a ~$1.2B reserve amortization (rate stabilization) cushion after using $306M in Q1 — a lever to smooth to the top of guidance.</w:t>
      </w:r>
    </w:p>
    <w:bookmarkEnd w:id="15"/>
    <w:bookmarkStart w:id="16" w:name="X9989570e10cd039e1b4fd848f92cb32cad28b94"/>
    <w:p>
      <w:pPr>
        <w:pStyle w:val="Heading3"/>
      </w:pPr>
      <w:r>
        <w:t xml:space="preserve">5. Nuclear optionality</w:t>
      </w:r>
    </w:p>
    <w:p>
      <w:pPr>
        <w:pStyle w:val="Compact"/>
        <w:numPr>
          <w:ilvl w:val="0"/>
          <w:numId w:val="1003"/>
        </w:numPr>
      </w:pPr>
      <w:r>
        <w:rPr>
          <w:b/>
          <w:bCs/>
        </w:rPr>
        <w:t xml:space="preserve">Duane Arnold restart</w:t>
      </w:r>
      <w:r>
        <w:t xml:space="preserve"> </w:t>
      </w:r>
      <w:r>
        <w:t xml:space="preserve">(with Google): full ownership secured, NRC license transfer approved, on track to re-enter service</w:t>
      </w:r>
      <w:r>
        <w:t xml:space="preserve"> </w:t>
      </w:r>
      <w:r>
        <w:rPr>
          <w:b/>
          <w:bCs/>
        </w:rPr>
        <w:t xml:space="preserve">no later than Q1 2029</w:t>
      </w:r>
      <w:r>
        <w:t xml:space="preserve">.</w:t>
      </w:r>
    </w:p>
    <w:p>
      <w:pPr>
        <w:pStyle w:val="Compact"/>
        <w:numPr>
          <w:ilvl w:val="0"/>
          <w:numId w:val="1003"/>
        </w:numPr>
      </w:pPr>
      <w:r>
        <w:rPr>
          <w:b/>
          <w:bCs/>
        </w:rPr>
        <w:t xml:space="preserve">Point Beach recontracting</w:t>
      </w:r>
      <w:r>
        <w:t xml:space="preserve">: "a lot of interest"; a decision is approaching and a hyperscaler PPA would be a positive data point.</w:t>
      </w:r>
    </w:p>
    <w:p>
      <w:pPr>
        <w:pStyle w:val="Compact"/>
        <w:numPr>
          <w:ilvl w:val="0"/>
          <w:numId w:val="1003"/>
        </w:numPr>
      </w:pPr>
      <w:r>
        <w:t xml:space="preserve">Up to</w:t>
      </w:r>
      <w:r>
        <w:t xml:space="preserve"> </w:t>
      </w:r>
      <w:r>
        <w:rPr>
          <w:b/>
          <w:bCs/>
        </w:rPr>
        <w:t xml:space="preserve">6 GW renewables + 1.5 GW nuclear recontracting through 2032</w:t>
      </w:r>
      <w:r>
        <w:t xml:space="preserve"> </w:t>
      </w:r>
      <w:r>
        <w:t xml:space="preserve">— Q1 recontracting came in at</w:t>
      </w:r>
      <w:r>
        <w:t xml:space="preserve"> </w:t>
      </w:r>
      <w:r>
        <w:rPr>
          <w:b/>
          <w:bCs/>
        </w:rPr>
        <w:t xml:space="preserve">+~$20/MWh</w:t>
      </w:r>
      <w:r>
        <w:t xml:space="preserve"> </w:t>
      </w:r>
      <w:r>
        <w:t xml:space="preserve">on 18-year average terms, a high-margin tailwind as legacy PPAs roll.</w:t>
      </w:r>
    </w:p>
    <w:bookmarkEnd w:id="16"/>
    <w:bookmarkStart w:id="17" w:name="Xf10ef47f3cd06ad9f3dbedad9c155daf32e3978"/>
    <w:p>
      <w:pPr>
        <w:pStyle w:val="Heading3"/>
      </w:pPr>
      <w:r>
        <w:t xml:space="preserve">6. Data-center hubs, transmission &amp; gas platform</w:t>
      </w:r>
    </w:p>
    <w:p>
      <w:pPr>
        <w:pStyle w:val="Compact"/>
        <w:numPr>
          <w:ilvl w:val="0"/>
          <w:numId w:val="1004"/>
        </w:numPr>
      </w:pPr>
      <w:r>
        <w:t xml:space="preserve">Data-center hubs: 30+ today,</w:t>
      </w:r>
      <w:r>
        <w:t xml:space="preserve"> </w:t>
      </w:r>
      <w:r>
        <w:rPr>
          <w:b/>
          <w:bCs/>
        </w:rPr>
        <w:t xml:space="preserve">target ~40 by year-end</w:t>
      </w:r>
      <w:r>
        <w:t xml:space="preserve">; base case of</w:t>
      </w:r>
      <w:r>
        <w:t xml:space="preserve"> </w:t>
      </w:r>
      <w:r>
        <w:rPr>
          <w:b/>
          <w:bCs/>
        </w:rPr>
        <w:t xml:space="preserve">15 GW of new large-load generation by 2035 (upside 30+ GW)</w:t>
      </w:r>
      <w:r>
        <w:t xml:space="preserve">, ~50% gas.</w:t>
      </w:r>
    </w:p>
    <w:p>
      <w:pPr>
        <w:pStyle w:val="Compact"/>
        <w:numPr>
          <w:ilvl w:val="0"/>
          <w:numId w:val="1004"/>
        </w:numPr>
      </w:pPr>
      <w:r>
        <w:t xml:space="preserve">Transmission/pipeline: NEET has ~</w:t>
      </w:r>
      <m:oMath>
        <m:r>
          <m:t>8</m:t>
        </m:r>
        <m:r>
          <m:t>B</m:t>
        </m:r>
        <m:r>
          <m:t>s</m:t>
        </m:r>
        <m:r>
          <m:t>e</m:t>
        </m:r>
        <m:r>
          <m:t>c</m:t>
        </m:r>
        <m:r>
          <m:t>u</m:t>
        </m:r>
        <m:r>
          <m:t>r</m:t>
        </m:r>
        <m:r>
          <m:t>e</m:t>
        </m:r>
        <m:r>
          <m:t>d</m:t>
        </m:r>
        <m:r>
          <m:rPr>
            <m:sty m:val="p"/>
          </m:rPr>
          <m:t>;</m:t>
        </m:r>
        <m:r>
          <m:t>t</m:t>
        </m:r>
        <m:r>
          <m:t>a</m:t>
        </m:r>
        <m:r>
          <m:t>r</m:t>
        </m:r>
        <m:r>
          <m:t>g</m:t>
        </m:r>
        <m:r>
          <m:t>e</m:t>
        </m:r>
        <m:r>
          <m:t>t</m:t>
        </m:r>
        <m:r>
          <m:t>i</m:t>
        </m:r>
        <m:r>
          <m:t>n</m:t>
        </m:r>
        <m:r>
          <m:t>g</m:t>
        </m:r>
        <m:r>
          <m:rPr>
            <m:sty m:val="p"/>
          </m:rPr>
          <m:t>*</m:t>
        </m:r>
        <m:r>
          <m:rPr>
            <m:sty m:val="p"/>
          </m:rPr>
          <m:t>*</m:t>
        </m:r>
      </m:oMath>
      <w:r>
        <w:t xml:space="preserve">20B combined electric + gas transmission by 2032** (~20% CAGR). Symmetry Energy acquisition makes NEER one of the largest U.S. gas movers (~8 Bcf/d).</w:t>
      </w:r>
    </w:p>
    <w:p>
      <w:pPr>
        <w:pStyle w:val="Compact"/>
        <w:numPr>
          <w:ilvl w:val="0"/>
          <w:numId w:val="1004"/>
        </w:numPr>
      </w:pPr>
      <w:r>
        <w:rPr>
          <w:b/>
          <w:bCs/>
        </w:rPr>
        <w:t xml:space="preserve">REWIRE / Google Cloud AI</w:t>
      </w:r>
      <w:r>
        <w:t xml:space="preserve"> </w:t>
      </w:r>
      <w:r>
        <w:t xml:space="preserve">cost-out initiative and the</w:t>
      </w:r>
      <w:r>
        <w:t xml:space="preserve"> </w:t>
      </w:r>
      <w:r>
        <w:rPr>
          <w:b/>
          <w:bCs/>
        </w:rPr>
        <w:t xml:space="preserve">NVIDIA</w:t>
      </w:r>
      <w:r>
        <w:t xml:space="preserve"> </w:t>
      </w:r>
      <w:r>
        <w:t xml:space="preserve">demand-flex collaboration are the emerging "optionality" themes.</w:t>
      </w:r>
    </w:p>
    <w:p>
      <w:r>
        <w:pict>
          <v:rect style="width:0;height:1.5pt" o:hralign="center" o:hrstd="t" o:hr="t"/>
        </w:pict>
      </w:r>
    </w:p>
    <w:bookmarkEnd w:id="17"/>
    <w:bookmarkEnd w:id="18"/>
    <w:bookmarkStart w:id="19" w:name="financial-watch-items--risks"/>
    <w:p>
      <w:pPr>
        <w:pStyle w:val="Heading2"/>
      </w:pPr>
      <w:r>
        <w:t xml:space="preserve">Financial Watch-items / Risks</w:t>
      </w:r>
    </w:p>
    <w:p>
      <w:pPr>
        <w:pStyle w:val="Compact"/>
        <w:numPr>
          <w:ilvl w:val="0"/>
          <w:numId w:val="1005"/>
        </w:numPr>
      </w:pPr>
      <w:r>
        <w:rPr>
          <w:b/>
          <w:bCs/>
        </w:rPr>
        <w:t xml:space="preserve">Financing costs &amp; balance sheet:</w:t>
      </w:r>
      <w:r>
        <w:t xml:space="preserve"> </w:t>
      </w:r>
      <w:r>
        <w:t xml:space="preserve">Rising interest expense is the persistent drag (Corp &amp; Other). NEER is running a</w:t>
      </w:r>
      <w:r>
        <w:t xml:space="preserve"> </w:t>
      </w:r>
      <w:r>
        <w:rPr>
          <w:b/>
          <w:bCs/>
        </w:rPr>
        <w:t xml:space="preserve">$43B+ interest-rate hedging program</w:t>
      </w:r>
      <w:r>
        <w:t xml:space="preserve">. Watch net financing headwind and any equity/asset-recycling commentary given the enormous capex ramp.</w:t>
      </w:r>
    </w:p>
    <w:p>
      <w:pPr>
        <w:pStyle w:val="Compact"/>
        <w:numPr>
          <w:ilvl w:val="0"/>
          <w:numId w:val="1005"/>
        </w:numPr>
      </w:pPr>
      <w:r>
        <w:rPr>
          <w:b/>
          <w:bCs/>
        </w:rPr>
        <w:t xml:space="preserve">Supply chain is de-risked:</w:t>
      </w:r>
      <w:r>
        <w:t xml:space="preserve"> </w:t>
      </w:r>
      <w:r>
        <w:t xml:space="preserve">solar panels and batteries secured through 2029, wind components through 2027, transformers through end of decade — an important competitive moat if peers are supply-constrained.</w:t>
      </w:r>
    </w:p>
    <w:p>
      <w:pPr>
        <w:pStyle w:val="Compact"/>
        <w:numPr>
          <w:ilvl w:val="0"/>
          <w:numId w:val="1005"/>
        </w:numPr>
      </w:pPr>
      <w:r>
        <w:rPr>
          <w:b/>
          <w:bCs/>
        </w:rPr>
        <w:t xml:space="preserve">Policy/tax-credit risk:</w:t>
      </w:r>
      <w:r>
        <w:t xml:space="preserve"> </w:t>
      </w:r>
      <w:r>
        <w:t xml:space="preserve">Note the subtle shift in the earnings-release caveats — the 2025 language explicitly assumed "continued applicability of existing IRS tax-credit safe-harbor guidance," which has been softened in 2026 filings to "public policy support for wind, solar and storage." Any commentary on the post-OBBBA tax-credit landscape and safe-harbor positioning matters for the long-term growth algorithm.</w:t>
      </w:r>
    </w:p>
    <w:p>
      <w:pPr>
        <w:pStyle w:val="Compact"/>
        <w:numPr>
          <w:ilvl w:val="0"/>
          <w:numId w:val="1005"/>
        </w:numPr>
      </w:pPr>
      <w:r>
        <w:rPr>
          <w:b/>
          <w:bCs/>
        </w:rPr>
        <w:t xml:space="preserve">Weather-normalized demand at FPL:</w:t>
      </w:r>
      <w:r>
        <w:t xml:space="preserve"> </w:t>
      </w:r>
      <w:r>
        <w:t xml:space="preserve">Q1 weather-normalized retail sales were only ~+0.3%; underlying Florida customer growth (~100k/yr adds) is the real driver, not usage.</w:t>
      </w:r>
    </w:p>
    <w:p>
      <w:pPr>
        <w:pStyle w:val="Compact"/>
        <w:numPr>
          <w:ilvl w:val="0"/>
          <w:numId w:val="1005"/>
        </w:numPr>
      </w:pPr>
      <w:r>
        <w:rPr>
          <w:b/>
          <w:bCs/>
        </w:rPr>
        <w:t xml:space="preserve">GAAP noise:</w:t>
      </w:r>
      <w:r>
        <w:t xml:space="preserve"> </w:t>
      </w:r>
      <w:r>
        <w:t xml:space="preserve">Expect large swings between GAAP and adjusted EPS from non-qualifying hedges and nuclear decommissioning fund marks — focus on adjusted.</w:t>
      </w:r>
    </w:p>
    <w:p>
      <w:r>
        <w:pict>
          <v:rect style="width:0;height:1.5pt" o:hralign="center" o:hrstd="t" o:hr="t"/>
        </w:pict>
      </w:r>
    </w:p>
    <w:bookmarkEnd w:id="19"/>
    <w:bookmarkStart w:id="20" w:name="stock-context"/>
    <w:p>
      <w:pPr>
        <w:pStyle w:val="Heading2"/>
      </w:pPr>
      <w:r>
        <w:t xml:space="preserve">Stock Context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Value</w:t>
            </w:r>
          </w:p>
        </w:tc>
      </w:tr>
      <w:tr>
        <w:tc>
          <w:tcPr/>
          <w:p>
            <w:pPr>
              <w:pStyle w:val="Compact"/>
            </w:pPr>
            <w:r>
              <w:t xml:space="preserve">Price (7/23/26)</w:t>
            </w:r>
          </w:p>
        </w:tc>
        <w:tc>
          <w:tcPr/>
          <w:p>
            <w:pPr>
              <w:pStyle w:val="Compact"/>
            </w:pPr>
            <w:r>
              <w:t xml:space="preserve">~$89.81</w:t>
            </w:r>
          </w:p>
        </w:tc>
      </w:tr>
      <w:tr>
        <w:tc>
          <w:tcPr/>
          <w:p>
            <w:pPr>
              <w:pStyle w:val="Compact"/>
            </w:pPr>
            <w:r>
              <w:t xml:space="preserve">YTD performance</w:t>
            </w:r>
          </w:p>
        </w:tc>
        <w:tc>
          <w:tcPr/>
          <w:p>
            <w:pPr>
              <w:pStyle w:val="Compact"/>
            </w:pPr>
            <w:r>
              <w:rPr>
                <w:b/>
                <w:bCs/>
              </w:rPr>
              <w:t xml:space="preserve">~+11%</w:t>
            </w:r>
            <w:r>
              <w:t xml:space="preserve"> </w:t>
            </w:r>
            <w:r>
              <w:t xml:space="preserve">(vs. XLU ~+7%)</w:t>
            </w:r>
          </w:p>
        </w:tc>
      </w:tr>
      <w:tr>
        <w:tc>
          <w:tcPr/>
          <w:p>
            <w:pPr>
              <w:pStyle w:val="Compact"/>
            </w:pPr>
            <w:r>
              <w:t xml:space="preserve">Since Q1 report (4/23, $96.25)</w:t>
            </w:r>
          </w:p>
        </w:tc>
        <w:tc>
          <w:tcPr/>
          <w:p>
            <w:pPr>
              <w:pStyle w:val="Compact"/>
            </w:pPr>
            <w:r>
              <w:rPr>
                <w:b/>
                <w:bCs/>
              </w:rPr>
              <w:t xml:space="preserve">~-7%</w:t>
            </w:r>
          </w:p>
        </w:tc>
      </w:tr>
      <w:tr>
        <w:tc>
          <w:tcPr/>
          <w:p>
            <w:pPr>
              <w:pStyle w:val="Compact"/>
            </w:pPr>
            <w:r>
              <w:t xml:space="preserve">Off April/Feb highs (~</w:t>
            </w:r>
            <m:oMath>
              <m:r>
                <m:t>96</m:t>
              </m:r>
              <m:r>
                <m:rPr>
                  <m:sty m:val="p"/>
                </m:rPr>
                <m:t>–</m:t>
              </m:r>
            </m:oMath>
            <w:r>
              <w:t xml:space="preserve">98)</w:t>
            </w:r>
          </w:p>
        </w:tc>
        <w:tc>
          <w:tcPr/>
          <w:p>
            <w:pPr>
              <w:pStyle w:val="Compact"/>
            </w:pPr>
            <w:r>
              <w:rPr>
                <w:b/>
                <w:bCs/>
              </w:rPr>
              <w:t xml:space="preserve">~-8%</w:t>
            </w:r>
          </w:p>
        </w:tc>
      </w:tr>
    </w:tbl>
    <w:p>
      <w:pPr>
        <w:pStyle w:val="BodyText"/>
      </w:pPr>
      <w:r>
        <w:t xml:space="preserve">NEE has outperformed the utility sector YTD but</w:t>
      </w:r>
      <w:r>
        <w:t xml:space="preserve"> </w:t>
      </w:r>
      <w:r>
        <w:rPr>
          <w:b/>
          <w:bCs/>
        </w:rPr>
        <w:t xml:space="preserve">cooled meaningfully since April</w:t>
      </w:r>
      <w:r>
        <w:t xml:space="preserve"> </w:t>
      </w:r>
      <w:r>
        <w:t xml:space="preserve">— it sold off to the low-</w:t>
      </w:r>
      <m:oMath>
        <m:r>
          <m:t>80</m:t>
        </m:r>
        <m:r>
          <m:t>s</m:t>
        </m:r>
        <m:r>
          <m:t>i</m:t>
        </m:r>
        <m:r>
          <m:t>n</m:t>
        </m:r>
        <m:r>
          <m:t>l</m:t>
        </m:r>
        <m:r>
          <m:t>a</m:t>
        </m:r>
        <m:r>
          <m:t>t</m:t>
        </m:r>
        <m:r>
          <m:t>e</m:t>
        </m:r>
        <m:r>
          <m:t>M</m:t>
        </m:r>
        <m:r>
          <m:t>a</m:t>
        </m:r>
        <m:r>
          <m:t>y</m:t>
        </m:r>
        <m:r>
          <m:rPr>
            <m:sty m:val="p"/>
          </m:rPr>
          <m:t>/</m:t>
        </m:r>
        <m:r>
          <m:t>e</m:t>
        </m:r>
        <m:r>
          <m:t>a</m:t>
        </m:r>
        <m:r>
          <m:t>r</m:t>
        </m:r>
        <m:r>
          <m:t>l</m:t>
        </m:r>
        <m:r>
          <m:t>y</m:t>
        </m:r>
        <m:r>
          <m:t>J</m:t>
        </m:r>
        <m:r>
          <m:t>u</m:t>
        </m:r>
        <m:r>
          <m:t>n</m:t>
        </m:r>
        <m:r>
          <m:t>e</m:t>
        </m:r>
        <m:r>
          <m:t>b</m:t>
        </m:r>
        <m:r>
          <m:t>e</m:t>
        </m:r>
        <m:r>
          <m:t>f</m:t>
        </m:r>
        <m:r>
          <m:t>o</m:t>
        </m:r>
        <m:r>
          <m:t>r</m:t>
        </m:r>
        <m:r>
          <m:t>e</m:t>
        </m:r>
        <m:r>
          <m:t>r</m:t>
        </m:r>
        <m:r>
          <m:t>e</m:t>
        </m:r>
        <m:r>
          <m:t>c</m:t>
        </m:r>
        <m:r>
          <m:t>o</m:t>
        </m:r>
        <m:r>
          <m:t>v</m:t>
        </m:r>
        <m:r>
          <m:t>e</m:t>
        </m:r>
        <m:r>
          <m:t>r</m:t>
        </m:r>
        <m:r>
          <m:t>i</m:t>
        </m:r>
        <m:r>
          <m:t>n</m:t>
        </m:r>
        <m:r>
          <m:t>g</m:t>
        </m:r>
        <m:r>
          <m:t>t</m:t>
        </m:r>
        <m:r>
          <m:t>o</m:t>
        </m:r>
        <m:r>
          <m:t> </m:t>
        </m:r>
      </m:oMath>
      <w:r>
        <w:t xml:space="preserve">90. That gives the stock some room to react to a "beat-and-reaffirm" and, more importantly, to concrete progress on the three catalysts (Japan agreements, backlog acceleration, first FPL large-load signing).</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The EPS number is likely a non-event — a modest beat around</w:t>
      </w:r>
      <w:r>
        <w:t xml:space="preserve"> </w:t>
      </w:r>
      <m:oMath>
        <m:r>
          <m:t>1.09</m:t>
        </m:r>
        <m:r>
          <m:rPr>
            <m:sty m:val="p"/>
          </m:rPr>
          <m:t>–</m:t>
        </m:r>
      </m:oMath>
      <w:r>
        <w:rPr>
          <w:b/>
          <w:bCs/>
        </w:rPr>
        <w:t xml:space="preserve">1.11</w:t>
      </w:r>
      <w:r>
        <w:t xml:space="preserve">, a reaffirmation of full-year guidance (targeting the high end of</w:t>
      </w:r>
      <w:r>
        <w:t xml:space="preserve"> </w:t>
      </w:r>
      <m:oMath>
        <m:r>
          <m:t>3.92</m:t>
        </m:r>
        <m:r>
          <m:rPr>
            <m:sty m:val="p"/>
          </m:rPr>
          <m:t>–</m:t>
        </m:r>
      </m:oMath>
      <w:r>
        <w:t xml:space="preserve">4.02), and the 8%+ long-term algorithm are the base case.</w:t>
      </w:r>
      <w:r>
        <w:t xml:space="preserve"> </w:t>
      </w:r>
      <w:r>
        <w:rPr>
          <w:b/>
          <w:bCs/>
        </w:rPr>
        <w:t xml:space="preserve">The share-price reaction will be driven by the forward signals:</w:t>
      </w:r>
      <w:r>
        <w:t xml:space="preserve"> </w:t>
      </w:r>
      <w:r>
        <w:t xml:space="preserve">whether backlog origination sustains/accelerates toward the "upside" case, tangible movement on the</w:t>
      </w:r>
      <w:r>
        <w:t xml:space="preserve"> </w:t>
      </w:r>
      <w:r>
        <w:rPr>
          <w:b/>
          <w:bCs/>
        </w:rPr>
        <w:t xml:space="preserve">9.5 GW U.S.–Japan gas deal</w:t>
      </w:r>
      <w:r>
        <w:t xml:space="preserve"> </w:t>
      </w:r>
      <w:r>
        <w:t xml:space="preserve">definitive agreements, and evidence FPL is converting its 12–21 GW of large-load interest into signed, rate-based capex. Conversely, disappointment would come from a Japan-deal slip, a backlog quarter below ~3.5 GW, or cautious tax-credit/policy commentary.</w:t>
      </w:r>
    </w:p>
    <w:p>
      <w:pPr>
        <w:pStyle w:val="BodyText"/>
      </w:pPr>
      <w:r>
        <w:rPr>
          <w:i/>
          <w:iCs/>
        </w:rPr>
        <w:t xml:space="preserve">Note: Q2 2026 consensus figures are sourced from public analyst aggregators (Zacks/Street) as of ~July 23, 2026; all operating metrics and guidance are from NEE's Q1 2026 earnings release and call. Figures should be confirmed against the actual release.</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2026-07-24T00:09:25Z</dcterms:created>
  <dcterms:modified xsi:type="dcterms:W3CDTF">2026-07-24T00:09:25Z</dcterms:modified>
</cp:coreProperties>
</file>

<file path=docProps/custom.xml><?xml version="1.0" encoding="utf-8"?>
<Properties xmlns="http://schemas.openxmlformats.org/officeDocument/2006/custom-properties" xmlns:vt="http://schemas.openxmlformats.org/officeDocument/2006/docPropsVTypes"/>
</file>