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e-earnings-predictions--2026-07-24"/>
    <w:p>
      <w:pPr>
        <w:pStyle w:val="Heading1"/>
      </w:pPr>
      <w:r>
        <w:t xml:space="preserve">NEE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~$1.12 vs. cons $1.10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~$8.05B vs. cons $8.10B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Resources Segment Adjusted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~$850M vs. cons $820M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~$3.97 (range</w:t>
            </w:r>
            <w:r>
              <w:t xml:space="preserve"> </w:t>
            </w:r>
            <m:oMath>
              <m:r>
                <m:t>3.92</m:t>
              </m:r>
              <m:r>
                <m:rPr>
                  <m:sty m:val="p"/>
                </m:rPr>
                <m:t>−</m:t>
              </m:r>
            </m:oMath>
            <w:r>
              <w:t xml:space="preserve">4.02, targeting high end) vs. cons $3.96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Standalone Long-Term EPS CAGR (2027-2032)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vs. cons ~7.8% (2027-2032 CAGR)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FPL Capital Plan 2026-2029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~$92B midpoint (range</w:t>
            </w:r>
            <w:r>
              <w:t xml:space="preserve"> </w:t>
            </w:r>
            <m:oMath>
              <m:r>
                <m:t>90</m:t>
              </m:r>
              <m:r>
                <m:rPr>
                  <m:sty m:val="p"/>
                </m:rPr>
                <m:t>−</m:t>
              </m:r>
              <m:r>
                <m:t>100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88B (2026-2029 capex)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+0.1% (FADE)</w:t>
            </w:r>
          </w:p>
        </w:tc>
        <w:tc>
          <w:tcPr/>
          <w:p>
            <w:pPr>
              <w:pStyle w:val="Compact"/>
            </w:pPr>
            <w:r>
              <w:t xml:space="preserve">Operational beat (EPS/backlog) likely reaffirms 2026 guidance but doesn't raise it, while the market's attention stays fixed on Dominion merger integration/regulatory risk and heavy financing needs (equity units, junior subordinated debt) that imply share-count dilution pressure on out-year EPS. Absent a raise to long-term CAGR or concrete large-load tariff signing, sell-side models likely nudge out-period EPS/FCF estimates down modestly on financing drag, causing initial pop to fade over the week rather than build.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2026-07-24T00:11:57Z</dcterms:created>
  <dcterms:modified xsi:type="dcterms:W3CDTF">2026-07-24T00:11:57Z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