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Now I have enough to write a comprehensive preview. Let me pull one more quick data point — the Q2 2025 comparable figures for context — from the transcript already fetched titles suggests Q2 2025 EPS $1.05. That's sufficient. Let's compose the report.# NextEra Energy (NEE) — Q2 2026 Earnings Preview</w:t>
      </w:r>
      <w:r>
        <w:t xml:space="preserve"> </w:t>
      </w:r>
      <w:r>
        <w:rPr>
          <w:b/>
          <w:bCs/>
        </w:rPr>
        <w:t xml:space="preserve">Report Date:</w:t>
      </w:r>
      <w:r>
        <w:t xml:space="preserve"> </w:t>
      </w:r>
      <w:r>
        <w:t xml:space="preserve">Friday, July 24, 2026, before market open |</w:t>
      </w:r>
      <w:r>
        <w:t xml:space="preserve"> </w:t>
      </w:r>
      <w:r>
        <w:rPr>
          <w:b/>
          <w:bCs/>
        </w:rPr>
        <w:t xml:space="preserve">Call:</w:t>
      </w:r>
      <w:r>
        <w:t xml:space="preserve"> </w:t>
      </w:r>
      <w:r>
        <w:t xml:space="preserve">9:00 a.m. ET</w:t>
      </w:r>
    </w:p>
    <w:p>
      <w:r>
        <w:pict>
          <v:rect style="width:0;height:1.5pt" o:hralign="center" o:hrstd="t" o:hr="t"/>
        </w:pict>
      </w:r>
    </w:p>
    <w:bookmarkStart w:id="9" w:name="X949bd4f4089bbaccce539b2bd28d75b85935b6a"/>
    <w:p>
      <w:pPr>
        <w:pStyle w:val="Heading2"/>
      </w:pPr>
      <w:r>
        <w:t xml:space="preserve">1. Setup Into the Print</w:t>
      </w:r>
    </w:p>
    <w:p>
      <w:pPr>
        <w:pStyle w:val="FirstParagraph"/>
      </w:pPr>
      <w:r>
        <w:t xml:space="preserve">NEE reports Q2 2026 results tomorrow against a backdrop that's unusually complicated for a "defensive" utility: a transformative pending mega-merger with Dominion Energy, red-hot data-center demand, and a stock that has been volatile around merger headlines. Shares closed at **</w:t>
      </w:r>
      <m:oMath>
        <m:r>
          <m:t>89.81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o</m:t>
        </m:r>
        <m:r>
          <m:t>n</m:t>
        </m:r>
        <m:r>
          <m:t>7</m:t>
        </m:r>
        <m:r>
          <m:rPr>
            <m:sty m:val="p"/>
          </m:rPr>
          <m:t>/</m:t>
        </m:r>
        <m:r>
          <m:t>23</m:t>
        </m:r>
        <m:r>
          <m:rPr>
            <m:sty m:val="p"/>
          </m:rPr>
          <m:t>,</m:t>
        </m:r>
        <m:r>
          <m:t>u</m:t>
        </m:r>
        <m:r>
          <m:t>p</m:t>
        </m:r>
        <m:r>
          <m:t>m</m:t>
        </m:r>
        <m:r>
          <m:t>o</m:t>
        </m:r>
        <m:r>
          <m:t>d</m:t>
        </m:r>
        <m:r>
          <m:t>e</m:t>
        </m:r>
        <m:r>
          <m:t>s</m:t>
        </m:r>
        <m:r>
          <m:t>t</m:t>
        </m:r>
        <m:r>
          <m:t>l</m:t>
        </m:r>
        <m:r>
          <m:t>y</m:t>
        </m:r>
        <m:r>
          <m:t>f</m:t>
        </m:r>
        <m:r>
          <m:t>r</m:t>
        </m:r>
        <m:r>
          <m:t>o</m:t>
        </m:r>
        <m:r>
          <m:t>m</m:t>
        </m:r>
        <m:r>
          <m:t>t</m:t>
        </m:r>
        <m:r>
          <m:t>h</m:t>
        </m:r>
        <m:r>
          <m:t>e</m:t>
        </m:r>
        <m:r>
          <m:t> </m:t>
        </m:r>
      </m:oMath>
      <w:r>
        <w:t xml:space="preserve">87-88 range seen in early July but still well below the **~</w:t>
      </w:r>
      <m:oMath>
        <m:r>
          <m:t>97</m:t>
        </m:r>
        <m:r>
          <m:rPr>
            <m:sty m:val="p"/>
          </m:rPr>
          <m:t>−</m:t>
        </m:r>
        <m:r>
          <m:t>98</m:t>
        </m:r>
        <m:r>
          <m:t>h</m:t>
        </m:r>
        <m:r>
          <m:t>i</m:t>
        </m:r>
        <m:r>
          <m:t>g</m:t>
        </m:r>
        <m:r>
          <m:t>h</m:t>
        </m:r>
        <m:r>
          <m:t>h</m:t>
        </m:r>
        <m:r>
          <m:t>i</m:t>
        </m:r>
        <m:r>
          <m:t>t</m:t>
        </m:r>
        <m:r>
          <m:t>i</m:t>
        </m:r>
        <m:r>
          <m:t>n</m:t>
        </m:r>
        <m:r>
          <m:t>l</m:t>
        </m:r>
        <m:r>
          <m:t>a</m:t>
        </m:r>
        <m:r>
          <m:t>t</m:t>
        </m:r>
        <m:r>
          <m:t>e</m:t>
        </m:r>
        <m:r>
          <m:t>A</m:t>
        </m:r>
        <m:r>
          <m:t>p</m:t>
        </m:r>
        <m:r>
          <m:t>r</m:t>
        </m:r>
        <m:r>
          <m:t>i</m:t>
        </m:r>
        <m:r>
          <m:t>l</m:t>
        </m:r>
        <m:r>
          <m:rPr>
            <m:sty m:val="p"/>
          </m:rPr>
          <m:t>/</m:t>
        </m:r>
        <m:r>
          <m:t>e</m:t>
        </m:r>
        <m:r>
          <m:t>a</m:t>
        </m:r>
        <m:r>
          <m:t>r</m:t>
        </m:r>
        <m:r>
          <m:t>l</m:t>
        </m:r>
        <m:r>
          <m:t>y</m:t>
        </m:r>
        <m:r>
          <m:t>M</m:t>
        </m:r>
        <m:r>
          <m:t>a</m:t>
        </m:r>
        <m:r>
          <m:t>y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,</m:t>
        </m:r>
        <m:r>
          <m:t>j</m:t>
        </m:r>
        <m:r>
          <m:t>u</m:t>
        </m:r>
        <m:r>
          <m:t>s</m:t>
        </m:r>
        <m:r>
          <m:t>t</m:t>
        </m:r>
        <m:r>
          <m:t>b</m:t>
        </m:r>
        <m:r>
          <m:t>e</m:t>
        </m:r>
        <m:r>
          <m:t>f</m:t>
        </m:r>
        <m:r>
          <m:t>o</m:t>
        </m:r>
        <m:r>
          <m:t>r</m:t>
        </m:r>
        <m:r>
          <m:t>e</m:t>
        </m:r>
        <m:r>
          <m:t>t</m:t>
        </m:r>
        <m:r>
          <m:t>h</m:t>
        </m:r>
        <m:r>
          <m:t>e</m:t>
        </m:r>
        <m:r>
          <m:t>D</m:t>
        </m:r>
        <m:r>
          <m:t>o</m:t>
        </m:r>
        <m:r>
          <m:t>m</m:t>
        </m:r>
        <m:r>
          <m:t>i</m:t>
        </m:r>
        <m:r>
          <m:t>n</m:t>
        </m:r>
        <m:r>
          <m:t>i</m:t>
        </m:r>
        <m:r>
          <m:t>o</m:t>
        </m:r>
        <m:r>
          <m:t>n</m:t>
        </m:r>
        <m:r>
          <m:t>d</m:t>
        </m:r>
        <m:r>
          <m:t>e</m:t>
        </m:r>
        <m:r>
          <m:t>a</m:t>
        </m:r>
        <m:r>
          <m:t>l</m:t>
        </m:r>
        <m:r>
          <m:t>w</m:t>
        </m:r>
        <m:r>
          <m:t>a</m:t>
        </m:r>
        <m:r>
          <m:t>s</m:t>
        </m:r>
        <m:r>
          <m:t>a</m:t>
        </m:r>
        <m:r>
          <m:t>n</m:t>
        </m:r>
        <m:r>
          <m:t>n</m:t>
        </m:r>
        <m:r>
          <m:t>o</m:t>
        </m:r>
        <m:r>
          <m:t>u</m:t>
        </m:r>
        <m:r>
          <m:t>n</m:t>
        </m:r>
        <m:r>
          <m:t>c</m:t>
        </m:r>
        <m:r>
          <m:t>e</m:t>
        </m:r>
        <m:r>
          <m:t>d</m:t>
        </m:r>
        <m:r>
          <m:rPr>
            <m:sty m:val="p"/>
          </m:rPr>
          <m:t>(</m:t>
        </m:r>
        <m:r>
          <m:t>s</m:t>
        </m:r>
        <m:r>
          <m:t>h</m:t>
        </m:r>
        <m:r>
          <m:t>a</m:t>
        </m:r>
        <m:r>
          <m:t>r</m:t>
        </m:r>
        <m:r>
          <m:t>e</m:t>
        </m:r>
        <m:r>
          <m:t>s</m:t>
        </m:r>
        <m:r>
          <m:t>f</m:t>
        </m:r>
        <m:r>
          <m:t>e</m:t>
        </m:r>
        <m:r>
          <m:t>l</m:t>
        </m:r>
        <m:r>
          <m:t>l</m:t>
        </m:r>
        <m:r>
          <m:t>f</m:t>
        </m:r>
        <m:r>
          <m:t>r</m:t>
        </m:r>
        <m:r>
          <m:t>o</m:t>
        </m:r>
        <m:r>
          <m:t>m</m:t>
        </m:r>
        <m:r>
          <m:t> </m:t>
        </m:r>
      </m:oMath>
      <w:r>
        <w:t xml:space="preserve">93 on the May 18 announcement date down to the low-$80s by early June before partially recovering).</w:t>
      </w:r>
    </w:p>
    <w:p>
      <w:pPr>
        <w:pStyle w:val="BodyText"/>
      </w:pPr>
      <w:r>
        <w:rPr>
          <w:b/>
          <w:bCs/>
        </w:rPr>
        <w:t xml:space="preserve">Consensus expectations</w:t>
      </w:r>
      <w:r>
        <w:t xml:space="preserve"> </w:t>
      </w:r>
      <w:r>
        <w:t xml:space="preserve">(per Wall Street trackers) cluster around: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EPS:</w:t>
      </w:r>
      <w:r>
        <w:t xml:space="preserve"> </w:t>
      </w:r>
      <w:r>
        <w:t xml:space="preserve">~</w:t>
      </w:r>
      <m:oMath>
        <m:r>
          <m:t>1.08</m:t>
        </m:r>
        <m:r>
          <m:rPr>
            <m:sty m:val="p"/>
          </m:rPr>
          <m:t>–</m:t>
        </m:r>
      </m:oMath>
      <w:r>
        <w:t xml:space="preserve">1.11 (Zacks consensus $1.08; other trackers</w:t>
      </w:r>
      <w:r>
        <w:t xml:space="preserve"> </w:t>
      </w:r>
      <m:oMath>
        <m:r>
          <m:t>1.10</m:t>
        </m:r>
        <m:r>
          <m:rPr>
            <m:sty m:val="p"/>
          </m:rPr>
          <m:t>–</m:t>
        </m:r>
      </m:oMath>
      <w:r>
        <w:t xml:space="preserve">1.11), vs.</w:t>
      </w:r>
      <w:r>
        <w:t xml:space="preserve"> </w:t>
      </w:r>
      <w:r>
        <w:rPr>
          <w:b/>
          <w:bCs/>
        </w:rPr>
        <w:t xml:space="preserve">$1.05</w:t>
      </w:r>
      <w:r>
        <w:t xml:space="preserve"> </w:t>
      </w:r>
      <w:r>
        <w:t xml:space="preserve">in Q2 2025 — roughly 3-6% y/y growth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Revenue:</w:t>
      </w:r>
      <w:r>
        <w:t xml:space="preserve"> </w:t>
      </w:r>
      <w:r>
        <w:t xml:space="preserve">~</w:t>
      </w:r>
      <m:oMath>
        <m:r>
          <m:t>8.0</m:t>
        </m:r>
        <m:r>
          <m:rPr>
            <m:sty m:val="p"/>
          </m:rPr>
          <m:t>–</m:t>
        </m:r>
      </m:oMath>
      <w:r>
        <w:t xml:space="preserve">8.2B, up ~19-22% y/y</w:t>
      </w:r>
    </w:p>
    <w:p>
      <w:pPr>
        <w:pStyle w:val="Compact"/>
        <w:numPr>
          <w:ilvl w:val="0"/>
          <w:numId w:val="1001"/>
        </w:numPr>
      </w:pPr>
      <w:r>
        <w:t xml:space="preserve">NEE has beaten consensus EPS in each of the trailing four quarters, with Q1 2026 delivering</w:t>
      </w:r>
      <w:r>
        <w:t xml:space="preserve"> </w:t>
      </w:r>
      <w:r>
        <w:rPr>
          <w:b/>
          <w:bCs/>
        </w:rPr>
        <w:t xml:space="preserve">$1.09 adjusted EPS, up 10% y/y and ahead of the $1.03 estimate</w:t>
      </w:r>
    </w:p>
    <w:p>
      <w:r>
        <w:pict>
          <v:rect style="width:0;height:1.5pt" o:hralign="center" o:hrstd="t" o:hr="t"/>
        </w:pict>
      </w:r>
    </w:p>
    <w:bookmarkEnd w:id="9"/>
    <w:bookmarkStart w:id="10" w:name="Xa6d468c22cab31eb6d2ae86875125bdf00037d9"/>
    <w:p>
      <w:pPr>
        <w:pStyle w:val="Heading2"/>
      </w:pPr>
      <w:r>
        <w:t xml:space="preserve">2. What Happened Last Quarter (Q1 2026 Recap — the Bridge)</w:t>
      </w:r>
    </w:p>
    <w:p>
      <w:pPr>
        <w:pStyle w:val="FirstParagraph"/>
      </w:pPr>
      <w:r>
        <w:t xml:space="preserve">Q1 set an upbeat tone. Adjusted earnings per share increased by 10% year-over-year, reflecting strong financial and operational performance at both FPL and Energy Resources. Key drivers to watch for continuation in Q2: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FPL:</w:t>
      </w:r>
      <w:r>
        <w:t xml:space="preserve"> </w:t>
      </w:r>
      <w:r>
        <w:t xml:space="preserve">FPL's earnings per share increased $0.06 year-over-year, with regulatory capital employed growth of approximately 8.8% a significant driver, and reported regulatory ROE for the 12 months ending March 2026 of approximately 11.7%. FPL's capital expenditures were approximately $3.2 billion for the quarter, with full-year investment guided to $12-13 billion (raised from the prior $10-11B outlook, driven by pulled-forward, price-locked solar procurement).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Energy Resources:</w:t>
      </w:r>
      <w:r>
        <w:t xml:space="preserve"> </w:t>
      </w:r>
      <w:r>
        <w:t xml:space="preserve">adjusted earnings growth of approximately 14% year-over-year, powered by a</w:t>
      </w:r>
      <w:r>
        <w:t xml:space="preserve"> </w:t>
      </w:r>
      <w:r>
        <w:rPr>
          <w:b/>
          <w:bCs/>
        </w:rPr>
        <w:t xml:space="preserve">record 4 GW of new renewables/storage backlog additions</w:t>
      </w:r>
      <w:r>
        <w:t xml:space="preserve">, bringing total backlog to</w:t>
      </w:r>
      <w:r>
        <w:t xml:space="preserve"> </w:t>
      </w:r>
      <w:r>
        <w:rPr>
          <w:b/>
          <w:bCs/>
        </w:rPr>
        <w:t xml:space="preserve">~33 GW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Guidance reaffirmed:</w:t>
      </w:r>
      <w:r>
        <w:t xml:space="preserve"> </w:t>
      </w:r>
      <w:r>
        <w:t xml:space="preserve">2026 adjusted EPS expectations range of $3.92 to $4.02 remains unchanged, targeting the high end, with 8%+ CAGR through 2032 and through 2035, off the 2025 base of $3.71 adjusted EPS.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Large-load pipeline:</w:t>
      </w:r>
      <w:r>
        <w:t xml:space="preserve"> </w:t>
      </w:r>
      <w:r>
        <w:t xml:space="preserve">roughly 21 gigawatts of large load interest at FPL, with about 12 gigawatts in advanced discussions, and management</w:t>
      </w:r>
      <w:r>
        <w:t xml:space="preserve"> </w:t>
      </w:r>
      <w:r>
        <w:rPr>
          <w:b/>
          <w:bCs/>
        </w:rPr>
        <w:t xml:space="preserve">reiterated a commitment to sign at least one large-load customer under FPL's tariff by year-end 2026</w:t>
      </w:r>
      <w:r>
        <w:t xml:space="preserve"> </w:t>
      </w:r>
      <w:r>
        <w:t xml:space="preserve">— a key catalyst investors will look for an update on tomorrow.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DOC/Japan gas projects:</w:t>
      </w:r>
      <w:r>
        <w:t xml:space="preserve"> </w:t>
      </w:r>
      <w:r>
        <w:t xml:space="preserve">the U.S. Department of Commerce selected Energy Resources to build 9.5 gigawatts of new gas-fired generation tied to Japan's $550 billion U.S. investment commitment, structured as a</w:t>
      </w:r>
      <w:r>
        <w:t xml:space="preserve"> </w:t>
      </w:r>
      <w:r>
        <w:rPr>
          <w:b/>
          <w:bCs/>
        </w:rPr>
        <w:t xml:space="preserve">capital-light</w:t>
      </w:r>
      <w:r>
        <w:t xml:space="preserve"> </w:t>
      </w:r>
      <w:r>
        <w:t xml:space="preserve">arrangement (fee-based, no NEE equity at risk). Management said definitive agreements were targeted for completion within 2-3 months of the April call — so an update on deal signing is likely on tomorrow's call.</w:t>
      </w:r>
    </w:p>
    <w:p>
      <w:r>
        <w:pict>
          <v:rect style="width:0;height:1.5pt" o:hralign="center" o:hrstd="t" o:hr="t"/>
        </w:pict>
      </w:r>
    </w:p>
    <w:bookmarkEnd w:id="10"/>
    <w:bookmarkStart w:id="11" w:name="Xb9a8d8bc7dd56510663136af36ee05c12cbf1fc"/>
    <w:p>
      <w:pPr>
        <w:pStyle w:val="Heading2"/>
      </w:pPr>
      <w:r>
        <w:t xml:space="preserve">3. The Big Overhang: The Dominion Energy Merger</w:t>
      </w:r>
    </w:p>
    <w:p>
      <w:pPr>
        <w:pStyle w:val="FirstParagraph"/>
      </w:pPr>
      <w:r>
        <w:t xml:space="preserve">The single most important context for this quarter's report is the</w:t>
      </w:r>
      <w:r>
        <w:t xml:space="preserve"> </w:t>
      </w:r>
      <w:r>
        <w:rPr>
          <w:b/>
          <w:bCs/>
        </w:rPr>
        <w:t xml:space="preserve">May 18, 2026 announcement</w:t>
      </w:r>
      <w:r>
        <w:t xml:space="preserve"> </w:t>
      </w:r>
      <w:r>
        <w:t xml:space="preserve">that NEE will combine with Dominion Energy (NYSE: D) in an all-stock deal — arguably the biggest story in the utility sector this year.</w:t>
      </w:r>
    </w:p>
    <w:p>
      <w:pPr>
        <w:pStyle w:val="BodyText"/>
      </w:pPr>
      <w:r>
        <w:rPr>
          <w:b/>
          <w:bCs/>
        </w:rPr>
        <w:t xml:space="preserve">Deal mechanics:</w:t>
      </w:r>
    </w:p>
    <w:p>
      <w:pPr>
        <w:pStyle w:val="Compact"/>
        <w:numPr>
          <w:ilvl w:val="0"/>
          <w:numId w:val="1003"/>
        </w:numPr>
      </w:pPr>
      <w:r>
        <w:t xml:space="preserve">Dominion holders get a</w:t>
      </w:r>
      <w:r>
        <w:t xml:space="preserve"> </w:t>
      </w:r>
      <w:r>
        <w:rPr>
          <w:b/>
          <w:bCs/>
        </w:rPr>
        <w:t xml:space="preserve">fixed exchange ratio of 0.8138 NEE shares</w:t>
      </w:r>
      <w:r>
        <w:t xml:space="preserve"> </w:t>
      </w:r>
      <w:r>
        <w:t xml:space="preserve">per D share plus a one-time $360M cash payment at close; NEE/Dominion holders end up owning ~74.5%/25.5% of the combined company</w:t>
      </w:r>
    </w:p>
    <w:p>
      <w:pPr>
        <w:pStyle w:val="Compact"/>
        <w:numPr>
          <w:ilvl w:val="0"/>
          <w:numId w:val="1003"/>
        </w:numPr>
      </w:pPr>
      <w:r>
        <w:t xml:space="preserve">Structured as tax-free, all-stock;</w:t>
      </w:r>
      <w:r>
        <w:t xml:space="preserve"> </w:t>
      </w:r>
      <w:r>
        <w:rPr>
          <w:b/>
          <w:bCs/>
        </w:rPr>
        <w:t xml:space="preserve">immediately accretive to adjusted EPS at closing</w:t>
      </w:r>
      <w:r>
        <w:t xml:space="preserve">, with</w:t>
      </w:r>
      <w:r>
        <w:t xml:space="preserve"> </w:t>
      </w:r>
      <w:r>
        <w:rPr>
          <w:b/>
          <w:bCs/>
        </w:rPr>
        <w:t xml:space="preserve">9%+ EPS growth through 2032/2035</w:t>
      </w:r>
      <w:r>
        <w:t xml:space="preserve"> </w:t>
      </w:r>
      <w:r>
        <w:t xml:space="preserve">guided for the combined entity (vs. NEE's standalone 8%+)</w:t>
      </w:r>
    </w:p>
    <w:p>
      <w:pPr>
        <w:pStyle w:val="Compact"/>
        <w:numPr>
          <w:ilvl w:val="0"/>
          <w:numId w:val="1003"/>
        </w:numPr>
      </w:pPr>
      <w:r>
        <w:t xml:space="preserve">Creates the world's largest regulated electric utility business, serving approximately 10 million utility customer accounts across Florida, Virginia, North Carolina and South Carolina and owning 110 gigawatts of generation</w:t>
      </w:r>
    </w:p>
    <w:p>
      <w:pPr>
        <w:pStyle w:val="Compact"/>
        <w:numPr>
          <w:ilvl w:val="0"/>
          <w:numId w:val="1003"/>
        </w:numPr>
      </w:pPr>
      <w:r>
        <w:t xml:space="preserve">Combined company operations will be more than 80% regulated... supporting expected 11% annual growth in regulatory capital employed, with a</w:t>
      </w:r>
      <w:r>
        <w:t xml:space="preserve"> </w:t>
      </w:r>
      <w:r>
        <w:rPr>
          <w:b/>
          <w:bCs/>
        </w:rPr>
        <w:t xml:space="preserve">combined $138B rate base</w:t>
      </w:r>
    </w:p>
    <w:p>
      <w:pPr>
        <w:pStyle w:val="Compact"/>
        <w:numPr>
          <w:ilvl w:val="0"/>
          <w:numId w:val="1003"/>
        </w:numPr>
      </w:pPr>
      <w:r>
        <w:t xml:space="preserve">Customer-facing sweetener: proposed $2.25 billion in bill credits spread over two years post-close for Dominion Energy's customers in Virginia, North Carolina and South Carolina</w:t>
      </w:r>
    </w:p>
    <w:p>
      <w:pPr>
        <w:pStyle w:val="Compact"/>
        <w:numPr>
          <w:ilvl w:val="0"/>
          <w:numId w:val="1003"/>
        </w:numPr>
      </w:pPr>
      <w:r>
        <w:t xml:space="preserve">Dual headquarters retained in Juno Beach, FL and Richmond, VA; John Ketchum remains Chairman/CEO, Robert Blue becomes President/CEO of regulated utilities and joins the board</w:t>
      </w:r>
    </w:p>
    <w:p>
      <w:pPr>
        <w:pStyle w:val="FirstParagraph"/>
      </w:pPr>
      <w:r>
        <w:rPr>
          <w:b/>
          <w:bCs/>
        </w:rPr>
        <w:t xml:space="preserve">Timeline/process (what to ask about tomorrow):</w:t>
      </w:r>
      <w:r>
        <w:t xml:space="preserve"> </w:t>
      </w:r>
      <w:r>
        <w:t xml:space="preserve">The deal requires NEE and Dominion shareholder votes, HSR clearance, FERC Section 203 approval, NRC approval, and sign-off from Virginia SCC, North Carolina Utilities Commission, and South Carolina PSC. The</w:t>
      </w:r>
      <w:r>
        <w:t xml:space="preserve"> </w:t>
      </w:r>
      <w:r>
        <w:rPr>
          <w:b/>
          <w:bCs/>
        </w:rPr>
        <w:t xml:space="preserve">Form S-4/joint proxy has already been filed</w:t>
      </w:r>
      <w:r>
        <w:t xml:space="preserve"> </w:t>
      </w:r>
      <w:r>
        <w:t xml:space="preserve">with the SEC, with shareholder votes expected in</w:t>
      </w:r>
      <w:r>
        <w:t xml:space="preserve"> </w:t>
      </w:r>
      <w:r>
        <w:rPr>
          <w:b/>
          <w:bCs/>
        </w:rPr>
        <w:t xml:space="preserve">early 2027</w:t>
      </w:r>
      <w:r>
        <w:t xml:space="preserve"> </w:t>
      </w:r>
      <w:r>
        <w:t xml:space="preserve">and closing guided at</w:t>
      </w:r>
      <w:r>
        <w:t xml:space="preserve"> </w:t>
      </w:r>
      <w:r>
        <w:rPr>
          <w:b/>
          <w:bCs/>
        </w:rPr>
        <w:t xml:space="preserve">12-18 months</w:t>
      </w:r>
      <w:r>
        <w:t xml:space="preserve"> </w:t>
      </w:r>
      <w:r>
        <w:t xml:space="preserve">from announcement (i.e., mid-to-late 2027).</w:t>
      </w:r>
    </w:p>
    <w:p>
      <w:pPr>
        <w:pStyle w:val="BodyText"/>
      </w:pPr>
      <w:r>
        <w:rPr>
          <w:b/>
          <w:bCs/>
        </w:rPr>
        <w:t xml:space="preserve">Why it matters for Q2:</w:t>
      </w:r>
      <w:r>
        <w:t xml:space="preserve"> </w:t>
      </w:r>
      <w:r>
        <w:t xml:space="preserve">Expect management to spend meaningful call time on regulatory-approval progress, integration planning, financing plans (note the flurry of capital-raising activity since the announcement — a</w:t>
      </w:r>
      <w:r>
        <w:t xml:space="preserve"> </w:t>
      </w:r>
      <m:oMath>
        <m:r>
          <m:t>2.3</m:t>
        </m:r>
        <m:r>
          <m:t>B</m:t>
        </m:r>
        <m:r>
          <m:t>e</m:t>
        </m:r>
        <m:r>
          <m:t>q</m:t>
        </m:r>
        <m:r>
          <m:t>u</m:t>
        </m:r>
        <m:r>
          <m:t>i</m:t>
        </m:r>
        <m:r>
          <m:t>t</m:t>
        </m:r>
        <m:r>
          <m:t>y</m:t>
        </m:r>
        <m:r>
          <m:t>u</m:t>
        </m:r>
        <m:r>
          <m:t>n</m:t>
        </m:r>
        <m:r>
          <m:t>i</m:t>
        </m:r>
        <m:r>
          <m:t>t</m:t>
        </m:r>
        <m:r>
          <m:t>s</m:t>
        </m:r>
        <m:r>
          <m:t>a</m:t>
        </m:r>
        <m:r>
          <m:t>l</m:t>
        </m:r>
        <m:r>
          <m:t>e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i</m:t>
        </m:r>
        <m:r>
          <m:t>n</m:t>
        </m:r>
        <m:r>
          <m:t>M</m:t>
        </m:r>
        <m:r>
          <m:t>a</m:t>
        </m:r>
        <m:r>
          <m:t>r</m:t>
        </m:r>
        <m:r>
          <m:t>c</m:t>
        </m:r>
        <m:r>
          <m:t>h</m:t>
        </m:r>
        <m:r>
          <m:rPr>
            <m:sty m:val="p"/>
          </m:rPr>
          <m:t>,</m:t>
        </m:r>
        <m:r>
          <m:t>a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€</m:t>
        </m:r>
        <m:r>
          <m:t>1.75</m:t>
        </m:r>
        <m:r>
          <m:t>B</m:t>
        </m:r>
        <m:r>
          <m:t>j</m:t>
        </m:r>
        <m:r>
          <m:t>u</m:t>
        </m:r>
        <m:r>
          <m:t>n</m:t>
        </m:r>
        <m:r>
          <m:t>i</m:t>
        </m:r>
        <m:r>
          <m:t>o</m:t>
        </m:r>
        <m:r>
          <m:t>r</m:t>
        </m:r>
        <m:r>
          <m:t>s</m:t>
        </m:r>
        <m:r>
          <m:t>u</m:t>
        </m:r>
        <m:r>
          <m:t>b</m:t>
        </m:r>
        <m:r>
          <m:t>o</m:t>
        </m:r>
        <m:r>
          <m:t>r</m:t>
        </m:r>
        <m:r>
          <m:t>d</m:t>
        </m:r>
        <m:r>
          <m:t>i</m:t>
        </m:r>
        <m:r>
          <m:t>n</m:t>
        </m:r>
        <m:r>
          <m:t>a</m:t>
        </m:r>
        <m:r>
          <m:t>t</m:t>
        </m:r>
        <m:r>
          <m:t>e</m:t>
        </m:r>
        <m:r>
          <m:t>d</m:t>
        </m:r>
        <m:r>
          <m:t>d</m:t>
        </m:r>
        <m:r>
          <m:t>e</m:t>
        </m:r>
        <m:r>
          <m:t>b</m:t>
        </m:r>
        <m:r>
          <m:t>e</m:t>
        </m:r>
        <m:r>
          <m:t>n</m:t>
        </m:r>
        <m:r>
          <m:t>t</m:t>
        </m:r>
        <m:r>
          <m:t>u</m:t>
        </m:r>
        <m:r>
          <m:t>r</m:t>
        </m:r>
        <m:r>
          <m:t>e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i</m:t>
        </m:r>
        <m:r>
          <m:t>n</m:t>
        </m:r>
        <m:r>
          <m:t>F</m:t>
        </m:r>
        <m:r>
          <m:t>e</m:t>
        </m:r>
        <m:r>
          <m:t>b</m:t>
        </m:r>
        <m:r>
          <m:t>r</m:t>
        </m:r>
        <m:r>
          <m:t>u</m:t>
        </m:r>
        <m:r>
          <m:t>a</m:t>
        </m:r>
        <m:r>
          <m:t>r</m:t>
        </m:r>
        <m:r>
          <m:t>y</m:t>
        </m:r>
        <m:r>
          <m:rPr>
            <m:sty m:val="p"/>
          </m:rPr>
          <m:t>,</m:t>
        </m:r>
        <m:r>
          <m:t>a</m:t>
        </m:r>
        <m:r>
          <m:t>n</m:t>
        </m:r>
        <m:r>
          <m:t>d</m:t>
        </m:r>
        <m:r>
          <m:t>a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rPr>
          <w:b/>
          <w:bCs/>
        </w:rPr>
        <w:t xml:space="preserve">3.75B junior subordinated debenture sale</w:t>
      </w:r>
      <w:r>
        <w:t xml:space="preserve"> </w:t>
      </w:r>
      <w:r>
        <w:t xml:space="preserve">in June, alongside a **</w:t>
      </w:r>
      <m:oMath>
        <m:r>
          <m:t>600</m:t>
        </m:r>
        <m:r>
          <m:t>M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r</m:t>
        </m:r>
        <m:r>
          <m:t>a</m:t>
        </m:r>
        <m:r>
          <m:t>i</m:t>
        </m:r>
        <m:r>
          <m:t>s</m:t>
        </m:r>
        <m:r>
          <m:t>e</m:t>
        </m:r>
        <m:r>
          <m:t>i</m:t>
        </m:r>
        <m:r>
          <m:t>n</m:t>
        </m:r>
        <m:r>
          <m:t>M</m:t>
        </m:r>
        <m:r>
          <m:t>a</m:t>
        </m:r>
        <m:r>
          <m:t>r</m:t>
        </m:r>
        <m:r>
          <m:t>c</m:t>
        </m:r>
        <m:r>
          <m:t>h</m:t>
        </m:r>
        <m:r>
          <m:rPr>
            <m:sty m:val="p"/>
          </m:rPr>
          <m:t>)</m:t>
        </m:r>
        <m:r>
          <m:rPr>
            <m:sty m:val="p"/>
          </m:rPr>
          <m:t>,</m:t>
        </m:r>
        <m:r>
          <m:t>a</m:t>
        </m:r>
        <m:r>
          <m:t>n</m:t>
        </m:r>
        <m:r>
          <m:t>d</m:t>
        </m:r>
        <m:r>
          <m:t>r</m:t>
        </m:r>
        <m:r>
          <m:t>e</m:t>
        </m:r>
        <m:r>
          <m:t>a</m:t>
        </m:r>
        <m:r>
          <m:t>s</m:t>
        </m:r>
        <m:r>
          <m:t>s</m:t>
        </m:r>
        <m:r>
          <m:t>u</m:t>
        </m:r>
        <m:r>
          <m:t>r</m:t>
        </m:r>
        <m:r>
          <m:t>a</m:t>
        </m:r>
        <m:r>
          <m:t>n</m:t>
        </m:r>
        <m:r>
          <m:t>c</m:t>
        </m:r>
        <m:r>
          <m:t>e</m:t>
        </m:r>
        <m:r>
          <m:t>o</m:t>
        </m:r>
        <m:r>
          <m:t>n</m:t>
        </m:r>
        <m:r>
          <m:t>s</m:t>
        </m:r>
        <m:r>
          <m:t>t</m:t>
        </m:r>
        <m:r>
          <m:t>a</m:t>
        </m:r>
        <m:r>
          <m:t>n</m:t>
        </m:r>
        <m:r>
          <m:t>d</m:t>
        </m:r>
        <m:r>
          <m:t>a</m:t>
        </m:r>
        <m:r>
          <m:t>l</m:t>
        </m:r>
        <m:r>
          <m:t>o</m:t>
        </m:r>
        <m:r>
          <m:t>n</m:t>
        </m:r>
        <m:r>
          <m:t>e</m:t>
        </m:r>
        <m:r>
          <m:t>N</m:t>
        </m:r>
        <m:r>
          <m:t>E</m:t>
        </m:r>
        <m:r>
          <m:t>E</m:t>
        </m:r>
        <m:r>
          <m:t>g</m:t>
        </m:r>
        <m:r>
          <m:t>u</m:t>
        </m:r>
        <m:r>
          <m:t>i</m:t>
        </m:r>
        <m:r>
          <m:t>d</m:t>
        </m:r>
        <m:r>
          <m:t>a</m:t>
        </m:r>
        <m:r>
          <m:t>n</m:t>
        </m:r>
        <m:r>
          <m:t>c</m:t>
        </m:r>
        <m:r>
          <m:t>e</m:t>
        </m:r>
        <m:r>
          <m:rPr>
            <m:sty m:val="p"/>
          </m:rPr>
          <m:t>(</m:t>
        </m:r>
      </m:oMath>
      <w:r>
        <w:t xml:space="preserve">3.92-</w:t>
      </w:r>
      <m:oMath>
        <m:r>
          <m:t>4.02</m:t>
        </m:r>
        <m:r>
          <m:t>2026</m:t>
        </m:r>
        <m:r>
          <m:t>E</m:t>
        </m:r>
        <m:r>
          <m:t>P</m:t>
        </m:r>
        <m:r>
          <m:t>S</m:t>
        </m:r>
        <m:r>
          <m:rPr>
            <m:sty m:val="p"/>
          </m:rPr>
          <m:t>)</m:t>
        </m:r>
        <m:r>
          <m:t>p</m:t>
        </m:r>
        <m:r>
          <m:t>e</m:t>
        </m:r>
        <m:r>
          <m:t>n</m:t>
        </m:r>
        <m:r>
          <m:t>d</m:t>
        </m:r>
        <m:r>
          <m:t>i</m:t>
        </m:r>
        <m:r>
          <m:t>n</m:t>
        </m:r>
        <m:r>
          <m:t>g</m:t>
        </m:r>
        <m:r>
          <m:t>c</m:t>
        </m:r>
        <m:r>
          <m:t>l</m:t>
        </m:r>
        <m:r>
          <m:t>o</m:t>
        </m:r>
        <m:r>
          <m:t>s</m:t>
        </m:r>
        <m:r>
          <m:t>e</m:t>
        </m:r>
        <m:r>
          <m:rPr>
            <m:sty m:val="p"/>
          </m:rPr>
          <m:t>.</m:t>
        </m:r>
        <m:r>
          <m:t>T</m:t>
        </m:r>
        <m:r>
          <m:t>h</m:t>
        </m:r>
        <m:r>
          <m:t>e</m:t>
        </m:r>
        <m:r>
          <m:t>s</m:t>
        </m:r>
        <m:r>
          <m:t>t</m:t>
        </m:r>
        <m:r>
          <m:t>o</m:t>
        </m:r>
        <m:r>
          <m:t>c</m:t>
        </m:r>
        <m:sSup>
          <m:e>
            <m:r>
              <m:t>k</m:t>
            </m:r>
          </m:e>
          <m:sup>
            <m:r>
              <m:rPr>
                <m:sty m:val="p"/>
              </m:rPr>
              <m:t>′</m:t>
            </m:r>
          </m:sup>
        </m:sSup>
        <m:r>
          <m:t>s</m:t>
        </m:r>
        <m:r>
          <m:t>p</m:t>
        </m:r>
        <m:r>
          <m:t>u</m:t>
        </m:r>
        <m:r>
          <m:t>l</m:t>
        </m:r>
        <m:r>
          <m:t>l</m:t>
        </m:r>
        <m:r>
          <m:t>b</m:t>
        </m:r>
        <m:r>
          <m:t>a</m:t>
        </m:r>
        <m:r>
          <m:t>c</m:t>
        </m:r>
        <m:r>
          <m:t>k</m:t>
        </m:r>
        <m:r>
          <m:t>f</m:t>
        </m:r>
        <m:r>
          <m:t>r</m:t>
        </m:r>
        <m:r>
          <m:t>o</m:t>
        </m:r>
        <m:r>
          <m:t>m</m:t>
        </m:r>
        <m:r>
          <m:t> </m:t>
        </m:r>
      </m:oMath>
      <w:r>
        <w:t xml:space="preserve">97 to the low-</w:t>
      </w:r>
      <m:oMath>
        <m:r>
          <m:t>80</m:t>
        </m:r>
        <m:r>
          <m:t>s</m:t>
        </m:r>
        <m:r>
          <m:t>a</m:t>
        </m:r>
        <m:r>
          <m:t>f</m:t>
        </m:r>
        <m:r>
          <m:t>t</m:t>
        </m:r>
        <m:r>
          <m:t>e</m:t>
        </m:r>
        <m:r>
          <m:t>r</m:t>
        </m:r>
        <m:r>
          <m:t>t</m:t>
        </m:r>
        <m:r>
          <m:t>h</m:t>
        </m:r>
        <m:r>
          <m:t>e</m:t>
        </m:r>
        <m:r>
          <m:t>a</m:t>
        </m:r>
        <m:r>
          <m:t>n</m:t>
        </m:r>
        <m:r>
          <m:t>n</m:t>
        </m:r>
        <m:r>
          <m:t>o</m:t>
        </m:r>
        <m:r>
          <m:t>u</m:t>
        </m:r>
        <m:r>
          <m:t>n</m:t>
        </m:r>
        <m:r>
          <m:t>c</m:t>
        </m:r>
        <m:r>
          <m:t>e</m:t>
        </m:r>
        <m:r>
          <m:t>m</m:t>
        </m:r>
        <m:r>
          <m:t>e</m:t>
        </m:r>
        <m:r>
          <m:t>n</m:t>
        </m:r>
        <m:r>
          <m:t>t</m:t>
        </m:r>
        <m:r>
          <m:rPr>
            <m:sty m:val="p"/>
          </m:rPr>
          <m:t>,</m:t>
        </m:r>
        <m:r>
          <m:t>b</m:t>
        </m:r>
        <m:r>
          <m:t>e</m:t>
        </m:r>
        <m:r>
          <m:t>f</m:t>
        </m:r>
        <m:r>
          <m:t>o</m:t>
        </m:r>
        <m:r>
          <m:t>r</m:t>
        </m:r>
        <m:r>
          <m:t>e</m:t>
        </m:r>
        <m:r>
          <m:t>p</m:t>
        </m:r>
        <m:r>
          <m:t>a</m:t>
        </m:r>
        <m:r>
          <m:t>r</m:t>
        </m:r>
        <m:r>
          <m:t>t</m:t>
        </m:r>
        <m:r>
          <m:t>i</m:t>
        </m:r>
        <m:r>
          <m:t>a</m:t>
        </m:r>
        <m:r>
          <m:t>l</m:t>
        </m:r>
        <m:r>
          <m:t>l</m:t>
        </m:r>
        <m:r>
          <m:t>y</m:t>
        </m:r>
        <m:r>
          <m:t>r</m:t>
        </m:r>
        <m:r>
          <m:t>e</m:t>
        </m:r>
        <m:r>
          <m:t>c</m:t>
        </m:r>
        <m:r>
          <m:t>o</m:t>
        </m:r>
        <m:r>
          <m:t>v</m:t>
        </m:r>
        <m:r>
          <m:t>e</m:t>
        </m:r>
        <m:r>
          <m:t>r</m:t>
        </m:r>
        <m:r>
          <m:t>i</m:t>
        </m:r>
        <m:r>
          <m:t>n</m:t>
        </m:r>
        <m:r>
          <m:t>g</m:t>
        </m:r>
        <m:r>
          <m:t>t</m:t>
        </m:r>
        <m:r>
          <m:t>o</m:t>
        </m:r>
        <m:r>
          <m:t> </m:t>
        </m:r>
      </m:oMath>
      <w:r>
        <w:t xml:space="preserve">90, suggests the market is still digesting deal risk (integration, regulatory friction in VA/NC/SC, dilution/accretion mechanics) — any incremental color on approval timelines or synergy specifics could move shares more than the quarterly print itself.</w:t>
      </w:r>
    </w:p>
    <w:p>
      <w:r>
        <w:pict>
          <v:rect style="width:0;height:1.5pt" o:hralign="center" o:hrstd="t" o:hr="t"/>
        </w:pict>
      </w:r>
    </w:p>
    <w:bookmarkEnd w:id="11"/>
    <w:bookmarkStart w:id="12" w:name="Xd1a5aa876bd90b895b8ed34071154550565e182"/>
    <w:p>
      <w:pPr>
        <w:pStyle w:val="Heading2"/>
      </w:pPr>
      <w:r>
        <w:t xml:space="preserve">4. Leadership Transition</w:t>
      </w:r>
    </w:p>
    <w:p>
      <w:pPr>
        <w:pStyle w:val="FirstParagraph"/>
      </w:pPr>
      <w:r>
        <w:t xml:space="preserve">Alongside the merger, FPL saw a</w:t>
      </w:r>
      <w:r>
        <w:t xml:space="preserve"> </w:t>
      </w:r>
      <w:r>
        <w:rPr>
          <w:b/>
          <w:bCs/>
        </w:rPr>
        <w:t xml:space="preserve">CEO change</w:t>
      </w:r>
      <w:r>
        <w:t xml:space="preserve">: effective May 18, 2026,</w:t>
      </w:r>
      <w:r>
        <w:t xml:space="preserve"> </w:t>
      </w:r>
      <w:r>
        <w:rPr>
          <w:b/>
          <w:bCs/>
        </w:rPr>
        <w:t xml:space="preserve">Armando Pimentel Jr. stepped down as FPL CEO to become Vice Chairman of NEE</w:t>
      </w:r>
      <w:r>
        <w:t xml:space="preserve">, with</w:t>
      </w:r>
      <w:r>
        <w:t xml:space="preserve"> </w:t>
      </w:r>
      <w:r>
        <w:rPr>
          <w:b/>
          <w:bCs/>
        </w:rPr>
        <w:t xml:space="preserve">Scott Bores (previously FPL President) succeeding him as FPL CEO</w:t>
      </w:r>
      <w:r>
        <w:t xml:space="preserve">. Bores is slated to run Florida Power &amp; Light within the combined company post-close as well. Watch for continuity messaging around FPL's rate case execution, the 10-year site plan, and the large-load tariff rollout under new leadership.</w:t>
      </w:r>
    </w:p>
    <w:p>
      <w:r>
        <w:pict>
          <v:rect style="width:0;height:1.5pt" o:hralign="center" o:hrstd="t" o:hr="t"/>
        </w:pict>
      </w:r>
    </w:p>
    <w:bookmarkEnd w:id="12"/>
    <w:bookmarkStart w:id="13" w:name="X5d54cc34c1c16fd831233bc350e32e362325334"/>
    <w:p>
      <w:pPr>
        <w:pStyle w:val="Heading2"/>
      </w:pPr>
      <w:r>
        <w:t xml:space="preserve">5. Segment Watch Items for Tomorrow</w:t>
      </w:r>
    </w:p>
    <w:p>
      <w:pPr>
        <w:pStyle w:val="FirstParagraph"/>
      </w:pPr>
      <w:r>
        <w:rPr>
          <w:b/>
          <w:bCs/>
        </w:rPr>
        <w:t xml:space="preserve">Florida Power &amp; Light (regulated core):</w:t>
      </w:r>
    </w:p>
    <w:p>
      <w:pPr>
        <w:pStyle w:val="Compact"/>
        <w:numPr>
          <w:ilvl w:val="0"/>
          <w:numId w:val="1004"/>
        </w:numPr>
      </w:pPr>
      <w:r>
        <w:t xml:space="preserve">Continued customer growth (Q1 added ~100,000 customers y/y) and retail sales trends</w:t>
      </w:r>
    </w:p>
    <w:p>
      <w:pPr>
        <w:pStyle w:val="Compact"/>
        <w:numPr>
          <w:ilvl w:val="0"/>
          <w:numId w:val="1004"/>
        </w:numPr>
      </w:pPr>
      <w:r>
        <w:t xml:space="preserve">Progress on the</w:t>
      </w:r>
      <w:r>
        <w:t xml:space="preserve"> </w:t>
      </w:r>
      <w:r>
        <w:rPr>
          <w:b/>
          <w:bCs/>
        </w:rPr>
        <w:t xml:space="preserve">$90-100B 2026-2032 capital plan</w:t>
      </w:r>
      <w:r>
        <w:t xml:space="preserve">; any further CapEx guidance revisions</w:t>
      </w:r>
    </w:p>
    <w:p>
      <w:pPr>
        <w:pStyle w:val="Compact"/>
        <w:numPr>
          <w:ilvl w:val="0"/>
          <w:numId w:val="1004"/>
        </w:numPr>
      </w:pPr>
      <w:r>
        <w:t xml:space="preserve">Updates on the</w:t>
      </w:r>
      <w:r>
        <w:t xml:space="preserve"> </w:t>
      </w:r>
      <w:r>
        <w:rPr>
          <w:b/>
          <w:bCs/>
        </w:rPr>
        <w:t xml:space="preserve">21 GW/12 GW large-load pipeline</w:t>
      </w:r>
      <w:r>
        <w:t xml:space="preserve"> </w:t>
      </w:r>
      <w:r>
        <w:t xml:space="preserve">and whether a signed tariff customer has materialized</w:t>
      </w:r>
    </w:p>
    <w:p>
      <w:pPr>
        <w:pStyle w:val="Compact"/>
        <w:numPr>
          <w:ilvl w:val="0"/>
          <w:numId w:val="1004"/>
        </w:numPr>
      </w:pPr>
      <w:r>
        <w:t xml:space="preserve">Rate-stabilization mechanism usage/balance under the new 4-year rate settlement</w:t>
      </w:r>
    </w:p>
    <w:p>
      <w:pPr>
        <w:pStyle w:val="FirstParagraph"/>
      </w:pPr>
      <w:r>
        <w:rPr>
          <w:b/>
          <w:bCs/>
        </w:rPr>
        <w:t xml:space="preserve">NextEra Energy Resources (contracted growth engine):</w:t>
      </w:r>
    </w:p>
    <w:p>
      <w:pPr>
        <w:pStyle w:val="Compact"/>
        <w:numPr>
          <w:ilvl w:val="0"/>
          <w:numId w:val="1005"/>
        </w:numPr>
      </w:pPr>
      <w:r>
        <w:t xml:space="preserve">Backlog trajectory beyond the record 33 GW (Q1 add of 4 GW, including 1.3 GW of storage) — is the pace of ~4 GW/quarter sustainable?</w:t>
      </w:r>
    </w:p>
    <w:p>
      <w:pPr>
        <w:pStyle w:val="Compact"/>
        <w:numPr>
          <w:ilvl w:val="0"/>
          <w:numId w:val="1005"/>
        </w:numPr>
      </w:pPr>
      <w:r>
        <w:t xml:space="preserve">Progress on</w:t>
      </w:r>
      <w:r>
        <w:t xml:space="preserve"> </w:t>
      </w:r>
      <w:r>
        <w:rPr>
          <w:b/>
          <w:bCs/>
        </w:rPr>
        <w:t xml:space="preserve">data center hubs</w:t>
      </w:r>
      <w:r>
        <w:t xml:space="preserve"> </w:t>
      </w:r>
      <w:r>
        <w:t xml:space="preserve">(30+ secured, 40 targeted by year-end) and the</w:t>
      </w:r>
      <w:r>
        <w:t xml:space="preserve"> </w:t>
      </w:r>
      <w:r>
        <w:rPr>
          <w:b/>
          <w:bCs/>
        </w:rPr>
        <w:t xml:space="preserve">15 GW base-case / 30+ GW upside</w:t>
      </w:r>
      <w:r>
        <w:t xml:space="preserve"> </w:t>
      </w:r>
      <w:r>
        <w:t xml:space="preserve">large-load generation goal by 2035</w:t>
      </w:r>
    </w:p>
    <w:p>
      <w:pPr>
        <w:pStyle w:val="Compact"/>
        <w:numPr>
          <w:ilvl w:val="0"/>
          <w:numId w:val="1005"/>
        </w:numPr>
      </w:pPr>
      <w:r>
        <w:t xml:space="preserve">Definitive agreement status on the</w:t>
      </w:r>
      <w:r>
        <w:t xml:space="preserve"> </w:t>
      </w:r>
      <w:r>
        <w:rPr>
          <w:b/>
          <w:bCs/>
        </w:rPr>
        <w:t xml:space="preserve">9.5 GW U.S.-Japan gas projects</w:t>
      </w:r>
    </w:p>
    <w:p>
      <w:pPr>
        <w:pStyle w:val="Compact"/>
        <w:numPr>
          <w:ilvl w:val="0"/>
          <w:numId w:val="1005"/>
        </w:numPr>
      </w:pPr>
      <w:r>
        <w:t xml:space="preserve">Recontracting economics (Q1 saw ~600 MW recontracted at roughly</w:t>
      </w:r>
      <w:r>
        <w:t xml:space="preserve"> </w:t>
      </w:r>
      <w:r>
        <w:rPr>
          <w:b/>
          <w:bCs/>
        </w:rPr>
        <w:t xml:space="preserve">+$20/MWh</w:t>
      </w:r>
      <w:r>
        <w:t xml:space="preserve"> </w:t>
      </w:r>
      <w:r>
        <w:t xml:space="preserve">versus prior pricing) — any acceleration as more legacy PPAs roll off (up to 6 GW renewables/1.5 GW nuclear through 2032)</w:t>
      </w:r>
    </w:p>
    <w:p>
      <w:pPr>
        <w:pStyle w:val="Compact"/>
        <w:numPr>
          <w:ilvl w:val="0"/>
          <w:numId w:val="1005"/>
        </w:numPr>
      </w:pPr>
      <w:r>
        <w:t xml:space="preserve">Duane Arnold nuclear restart progress (targeted no later than Q1 2029) and Point Beach/Seabrook recontracting decisions</w:t>
      </w:r>
    </w:p>
    <w:p>
      <w:pPr>
        <w:pStyle w:val="Compact"/>
        <w:numPr>
          <w:ilvl w:val="0"/>
          <w:numId w:val="1005"/>
        </w:numPr>
      </w:pPr>
      <w:r>
        <w:t xml:space="preserve">Gas/pipeline expansion (Symmetry Energy integration) and NextEra Energy Transmission growth (~$8B secured capital, targeting $20B by 2032)</w:t>
      </w:r>
    </w:p>
    <w:p>
      <w:pPr>
        <w:pStyle w:val="FirstParagraph"/>
      </w:pPr>
      <w:r>
        <w:rPr>
          <w:b/>
          <w:bCs/>
        </w:rPr>
        <w:t xml:space="preserve">Financials/Balance Sheet:</w:t>
      </w:r>
    </w:p>
    <w:p>
      <w:pPr>
        <w:pStyle w:val="Compact"/>
        <w:numPr>
          <w:ilvl w:val="0"/>
          <w:numId w:val="1006"/>
        </w:numPr>
      </w:pPr>
      <w:r>
        <w:t xml:space="preserve">Confirmation of 2026 guidance (</w:t>
      </w:r>
      <m:oMath>
        <m:r>
          <m:t>3.92</m:t>
        </m:r>
        <m:r>
          <m:rPr>
            <m:sty m:val="p"/>
          </m:rPr>
          <m:t>−</m:t>
        </m:r>
      </m:oMath>
      <w:r>
        <w:t xml:space="preserve">4.02, targeting high end) and long-term 8%+ EPS CAGR through 2032/2035</w:t>
      </w:r>
    </w:p>
    <w:p>
      <w:pPr>
        <w:pStyle w:val="Compact"/>
        <w:numPr>
          <w:ilvl w:val="0"/>
          <w:numId w:val="1006"/>
        </w:numPr>
      </w:pPr>
      <w:r>
        <w:t xml:space="preserve">Interest-rate hedging program (&gt;$43B) and financing cadence given the debt/equity issuance flurry noted above</w:t>
      </w:r>
    </w:p>
    <w:p>
      <w:pPr>
        <w:pStyle w:val="Compact"/>
        <w:numPr>
          <w:ilvl w:val="0"/>
          <w:numId w:val="1006"/>
        </w:numPr>
      </w:pPr>
      <w:r>
        <w:t xml:space="preserve">Dividend growth policy: ~10%/year through 2026 (2024 base), ~6%/year 2026-2028</w:t>
      </w:r>
    </w:p>
    <w:p>
      <w:pPr>
        <w:pStyle w:val="Compact"/>
        <w:numPr>
          <w:ilvl w:val="0"/>
          <w:numId w:val="1006"/>
        </w:numPr>
      </w:pPr>
      <w:r>
        <w:t xml:space="preserve">Free cash flow trajectory — NEE's capital-intensive build-out has kept FCF deeply negative; watch for updated capex/funding commentary, especially with Dominion integration costs looming</w:t>
      </w:r>
    </w:p>
    <w:p>
      <w:r>
        <w:pict>
          <v:rect style="width:0;height:1.5pt" o:hralign="center" o:hrstd="t" o:hr="t"/>
        </w:pict>
      </w:r>
    </w:p>
    <w:bookmarkEnd w:id="13"/>
    <w:bookmarkStart w:id="14" w:name="X49e34d9056703e0521ab3ce2e920b2c4ba97a36"/>
    <w:p>
      <w:pPr>
        <w:pStyle w:val="Heading2"/>
      </w:pPr>
      <w:r>
        <w:t xml:space="preserve">6. Bottom Line</w:t>
      </w:r>
    </w:p>
    <w:p>
      <w:pPr>
        <w:pStyle w:val="FirstParagraph"/>
      </w:pPr>
      <w:r>
        <w:t xml:space="preserve">This print is likely to be a</w:t>
      </w:r>
      <w:r>
        <w:t xml:space="preserve"> </w:t>
      </w:r>
      <w:r>
        <w:rPr>
          <w:b/>
          <w:bCs/>
        </w:rPr>
        <w:t xml:space="preserve">solid, in-line-to-slightly-better quarter</w:t>
      </w:r>
      <w:r>
        <w:t xml:space="preserve"> </w:t>
      </w:r>
      <w:r>
        <w:t xml:space="preserve">operationally — FPL rate-base growth and Energy Resources backlog/origination momentum should continue — but the</w:t>
      </w:r>
      <w:r>
        <w:t xml:space="preserve"> </w:t>
      </w:r>
      <w:r>
        <w:rPr>
          <w:b/>
          <w:bCs/>
        </w:rPr>
        <w:t xml:space="preserve">real market focus will be on the Dominion merger</w:t>
      </w:r>
      <w:r>
        <w:t xml:space="preserve">: regulatory-approval progress, financing/dilution management, integration cost color, and reaffirmation of both standalone and pro-forma combined-company growth targets (8%+ standalone / 9%+ combined EPS CAGR through 2032). Secondary catalysts to watch include any update on</w:t>
      </w:r>
      <w:r>
        <w:t xml:space="preserve"> </w:t>
      </w:r>
      <w:r>
        <w:rPr>
          <w:b/>
          <w:bCs/>
        </w:rPr>
        <w:t xml:space="preserve">signing FPL's first large-load tariff customer</w:t>
      </w:r>
      <w:r>
        <w:t xml:space="preserve"> </w:t>
      </w:r>
      <w:r>
        <w:t xml:space="preserve">and</w:t>
      </w:r>
      <w:r>
        <w:t xml:space="preserve"> </w:t>
      </w:r>
      <w:r>
        <w:rPr>
          <w:b/>
          <w:bCs/>
        </w:rPr>
        <w:t xml:space="preserve">finalizing the U.S.-Japan 9.5 GW gas development agreements</w:t>
      </w:r>
      <w:r>
        <w:t xml:space="preserve"> </w:t>
      </w:r>
      <w:r>
        <w:t xml:space="preserve">— both cited by management as near-term proof points for the data-center/large-load growth thesis. Given the stock's post-merger-announcement volatility, tomorrow's tone on deal execution risk may matter more to the share price than the headline EPS beat/miss itself.</w:t>
      </w:r>
    </w:p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2026-07-24T00:11:57Z</dcterms:created>
  <dcterms:modified xsi:type="dcterms:W3CDTF">2026-07-24T00:11:57Z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