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a2e9513fa965a83fc1ec5947aa80cf6857c9c1"/>
    <w:p>
      <w:pPr>
        <w:pStyle w:val="Heading1"/>
      </w:pPr>
      <w:r>
        <w:t xml:space="preserve">NextEra Energy (NEE) — 2026 Q2 Earnings Preview</w:t>
      </w:r>
    </w:p>
    <w:p>
      <w:pPr>
        <w:pStyle w:val="FirstParagraph"/>
      </w:pPr>
      <w:r>
        <w:rPr>
          <w:b/>
          <w:bCs/>
        </w:rPr>
        <w:t xml:space="preserve">Report date:</w:t>
      </w:r>
      <w:r>
        <w:t xml:space="preserve"> </w:t>
      </w:r>
      <w:r>
        <w:t xml:space="preserve">Friday, July 24, 2026</w:t>
      </w:r>
      <w:r>
        <w:br/>
      </w:r>
      <w:r>
        <w:rPr>
          <w:b/>
          <w:bCs/>
        </w:rPr>
        <w:t xml:space="preserve">Results:</w:t>
      </w:r>
      <w:r>
        <w:t xml:space="preserve"> </w:t>
      </w:r>
      <w:r>
        <w:t xml:space="preserve">Approximately 7:30 a.m. ET</w:t>
      </w:r>
      <w:r>
        <w:br/>
      </w:r>
      <w:r>
        <w:rPr>
          <w:b/>
          <w:bCs/>
        </w:rPr>
        <w:t xml:space="preserve">Earnings call:</w:t>
      </w:r>
      <w:r>
        <w:t xml:space="preserve"> </w:t>
      </w:r>
      <w:r>
        <w:t xml:space="preserve">9:00 a.m. ET</w:t>
      </w:r>
      <w:r>
        <w:br/>
      </w:r>
      <w:r>
        <w:rPr>
          <w:b/>
          <w:bCs/>
        </w:rPr>
        <w:t xml:space="preserve">Prior-year Q2 adjusted EPS:</w:t>
      </w:r>
      <w:r>
        <w:t xml:space="preserve"> </w:t>
      </w:r>
      <w:r>
        <w:rPr>
          <w:b/>
          <w:bCs/>
        </w:rPr>
        <w:t xml:space="preserve">$1.05</w:t>
      </w:r>
    </w:p>
    <w:bookmarkStart w:id="9" w:name="investment-setup"/>
    <w:p>
      <w:pPr>
        <w:pStyle w:val="Heading2"/>
      </w:pPr>
      <w:r>
        <w:t xml:space="preserve">Investment setup</w:t>
      </w:r>
    </w:p>
    <w:p>
      <w:pPr>
        <w:pStyle w:val="FirstParagraph"/>
      </w:pPr>
      <w:r>
        <w:t xml:space="preserve">This report is about much more than quarterly EPS. NextEra enters earnings with three overlapping stories:</w:t>
      </w:r>
    </w:p>
    <w:p>
      <w:pPr>
        <w:pStyle w:val="Compact"/>
        <w:numPr>
          <w:ilvl w:val="0"/>
          <w:numId w:val="1001"/>
        </w:numPr>
      </w:pPr>
      <w:r>
        <w:rPr>
          <w:b/>
          <w:bCs/>
        </w:rPr>
        <w:t xml:space="preserve">Strong underlying execution</w:t>
      </w:r>
      <w:r>
        <w:t xml:space="preserve"> </w:t>
      </w:r>
      <w:r>
        <w:t xml:space="preserve">at Florida Power &amp; Light and Energy Resources.</w:t>
      </w:r>
    </w:p>
    <w:p>
      <w:pPr>
        <w:pStyle w:val="Compact"/>
        <w:numPr>
          <w:ilvl w:val="0"/>
          <w:numId w:val="1001"/>
        </w:numPr>
      </w:pPr>
      <w:r>
        <w:rPr>
          <w:b/>
          <w:bCs/>
        </w:rPr>
        <w:t xml:space="preserve">Rapidly expanding power demand</w:t>
      </w:r>
      <w:r>
        <w:t xml:space="preserve">, particularly from data centers and other large-load customers.</w:t>
      </w:r>
    </w:p>
    <w:p>
      <w:pPr>
        <w:pStyle w:val="Compact"/>
        <w:numPr>
          <w:ilvl w:val="0"/>
          <w:numId w:val="1001"/>
        </w:numPr>
      </w:pPr>
      <w:r>
        <w:rPr>
          <w:b/>
          <w:bCs/>
        </w:rPr>
        <w:t xml:space="preserve">The pending Dominion Energy combination</w:t>
      </w:r>
      <w:r>
        <w:t xml:space="preserve">, which materially changes NextEra’s regulated exposure, growth profile and execution risk.</w:t>
      </w:r>
    </w:p>
    <w:p>
      <w:pPr>
        <w:pStyle w:val="FirstParagraph"/>
      </w:pPr>
      <w:r>
        <w:t xml:space="preserve">The likely share-price response will therefore depend less on a small EPS beat or miss and more on whether management can demonstrate that the standalone business remains on track while advancing several unusually large strategic projects.</w:t>
      </w:r>
    </w:p>
    <w:p>
      <w:pPr>
        <w:pStyle w:val="BodyText"/>
      </w:pPr>
      <w:r>
        <w:t xml:space="preserve">The key questions are:</w:t>
      </w:r>
    </w:p>
    <w:p>
      <w:pPr>
        <w:pStyle w:val="Compact"/>
        <w:numPr>
          <w:ilvl w:val="0"/>
          <w:numId w:val="1002"/>
        </w:numPr>
      </w:pPr>
      <w:r>
        <w:t xml:space="preserve">Does NextEra still expect 2026 adjusted EPS near the</w:t>
      </w:r>
      <w:r>
        <w:t xml:space="preserve"> </w:t>
      </w:r>
      <w:r>
        <w:rPr>
          <w:b/>
          <w:bCs/>
        </w:rPr>
        <w:t xml:space="preserve">high end of</w:t>
      </w:r>
      <w:r>
        <w:rPr>
          <w:b/>
          <w:bCs/>
        </w:rPr>
        <w:t xml:space="preserve"> </w:t>
      </w:r>
      <m:oMath>
        <m:r>
          <m:t>3.92</m:t>
        </m:r>
        <m:r>
          <m:rPr>
            <m:sty m:val="p"/>
          </m:rPr>
          <m:t>–</m:t>
        </m:r>
      </m:oMath>
      <w:r>
        <w:rPr>
          <w:b/>
          <w:bCs/>
        </w:rPr>
        <w:t xml:space="preserve">4.02</w:t>
      </w:r>
      <w:r>
        <w:t xml:space="preserve">?</w:t>
      </w:r>
    </w:p>
    <w:p>
      <w:pPr>
        <w:pStyle w:val="Compact"/>
        <w:numPr>
          <w:ilvl w:val="0"/>
          <w:numId w:val="1002"/>
        </w:numPr>
      </w:pPr>
      <w:r>
        <w:t xml:space="preserve">Can Energy Resources sustain its recent pace of backlog additions?</w:t>
      </w:r>
    </w:p>
    <w:p>
      <w:pPr>
        <w:pStyle w:val="Compact"/>
        <w:numPr>
          <w:ilvl w:val="0"/>
          <w:numId w:val="1002"/>
        </w:numPr>
      </w:pPr>
      <w:r>
        <w:t xml:space="preserve">Has FPL converted any of its large-load pipeline into a firm commitment?</w:t>
      </w:r>
    </w:p>
    <w:p>
      <w:pPr>
        <w:pStyle w:val="Compact"/>
        <w:numPr>
          <w:ilvl w:val="0"/>
          <w:numId w:val="1002"/>
        </w:numPr>
      </w:pPr>
      <w:r>
        <w:t xml:space="preserve">Have the 9.5 GW U.S.-Japan gas projects progressed to definitive agreements?</w:t>
      </w:r>
    </w:p>
    <w:p>
      <w:pPr>
        <w:pStyle w:val="Compact"/>
        <w:numPr>
          <w:ilvl w:val="0"/>
          <w:numId w:val="1002"/>
        </w:numPr>
      </w:pPr>
      <w:r>
        <w:t xml:space="preserve">Is the Dominion transaction advancing without weakening the balance-sheet or standalone outlook?</w:t>
      </w:r>
    </w:p>
    <w:p>
      <w:pPr>
        <w:pStyle w:val="FirstParagraph"/>
      </w:pPr>
      <w:r>
        <w:t xml:space="preserve">NEE closed July 23 at</w:t>
      </w:r>
      <w:r>
        <w:t xml:space="preserve"> </w:t>
      </w:r>
      <w:r>
        <w:rPr>
          <w:b/>
          <w:bCs/>
        </w:rPr>
        <w:t xml:space="preserve">$89.81</w:t>
      </w:r>
      <w:r>
        <w:t xml:space="preserve">, approximately 11% above its January 2 close but about 4% below its May 15 pre-merger-announcement close. That suggests investors still assign value to the core growth story but want proof that the Dominion transaction will enhance—not dilute—NextEra’s quality and financial flexibility.</w:t>
      </w:r>
    </w:p>
    <w:p>
      <w:r>
        <w:pict>
          <v:rect style="width:0;height:1.5pt" o:hralign="center" o:hrstd="t" o:hr="t"/>
        </w:pict>
      </w:r>
    </w:p>
    <w:bookmarkEnd w:id="9"/>
    <w:bookmarkStart w:id="10" w:name="financial-benchmarks"/>
    <w:p>
      <w:pPr>
        <w:pStyle w:val="Heading2"/>
      </w:pPr>
      <w:r>
        <w:t xml:space="preserve">Financial benchmarks</w:t>
      </w:r>
    </w:p>
    <w:p>
      <w:pPr>
        <w:pStyle w:val="FirstParagraph"/>
      </w:pPr>
      <w:r>
        <w:t xml:space="preserve">No reliable live consensus feed was available in the provided data, so the cleanest benchmarks are prior-year results and company guidance.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2025 Q2</w:t>
            </w:r>
          </w:p>
        </w:tc>
        <w:tc>
          <w:tcPr/>
          <w:p>
            <w:pPr>
              <w:pStyle w:val="Compact"/>
              <w:jc w:val="right"/>
            </w:pPr>
            <w:r>
              <w:t xml:space="preserve">2026 Q1</w:t>
            </w:r>
          </w:p>
        </w:tc>
        <w:tc>
          <w:tcPr/>
          <w:p>
            <w:pPr>
              <w:pStyle w:val="Compact"/>
            </w:pPr>
            <w:r>
              <w:t xml:space="preserve">What matters in Q2</w:t>
            </w:r>
          </w:p>
        </w:tc>
      </w:tr>
      <w:tr>
        <w:tc>
          <w:tcPr/>
          <w:p>
            <w:pPr>
              <w:pStyle w:val="Compact"/>
            </w:pPr>
            <w:r>
              <w:t xml:space="preserve">Adjusted EPS</w:t>
            </w:r>
          </w:p>
        </w:tc>
        <w:tc>
          <w:tcPr/>
          <w:p>
            <w:pPr>
              <w:pStyle w:val="Compact"/>
              <w:jc w:val="right"/>
            </w:pPr>
            <w:r>
              <w:rPr>
                <w:b/>
                <w:bCs/>
              </w:rPr>
              <w:t xml:space="preserve">$1.05</w:t>
            </w:r>
          </w:p>
        </w:tc>
        <w:tc>
          <w:tcPr/>
          <w:p>
            <w:pPr>
              <w:pStyle w:val="Compact"/>
              <w:jc w:val="right"/>
            </w:pPr>
            <w:r>
              <w:rPr>
                <w:b/>
                <w:bCs/>
              </w:rPr>
              <w:t xml:space="preserve">$1.09</w:t>
            </w:r>
          </w:p>
        </w:tc>
        <w:tc>
          <w:tcPr/>
          <w:p>
            <w:pPr>
              <w:pStyle w:val="Compact"/>
            </w:pPr>
            <w:r>
              <w:t xml:space="preserve">Year-over-year growth and full-year guidance</w:t>
            </w:r>
          </w:p>
        </w:tc>
      </w:tr>
      <w:tr>
        <w:tc>
          <w:tcPr/>
          <w:p>
            <w:pPr>
              <w:pStyle w:val="Compact"/>
            </w:pPr>
            <w:r>
              <w:t xml:space="preserve">FPL adjusted EPS</w:t>
            </w:r>
          </w:p>
        </w:tc>
        <w:tc>
          <w:tcPr/>
          <w:p>
            <w:pPr>
              <w:pStyle w:val="Compact"/>
              <w:jc w:val="right"/>
            </w:pPr>
            <w:r>
              <w:rPr>
                <w:b/>
                <w:bCs/>
              </w:rPr>
              <w:t xml:space="preserve">$0.62</w:t>
            </w:r>
          </w:p>
        </w:tc>
        <w:tc>
          <w:tcPr/>
          <w:p>
            <w:pPr>
              <w:pStyle w:val="Compact"/>
              <w:jc w:val="right"/>
            </w:pPr>
            <w:r>
              <w:rPr>
                <w:b/>
                <w:bCs/>
              </w:rPr>
              <w:t xml:space="preserve">$0.70</w:t>
            </w:r>
          </w:p>
        </w:tc>
        <w:tc>
          <w:tcPr/>
          <w:p>
            <w:pPr>
              <w:pStyle w:val="Compact"/>
            </w:pPr>
            <w:r>
              <w:t xml:space="preserve">Rate-base growth, customer additions and sales</w:t>
            </w:r>
          </w:p>
        </w:tc>
      </w:tr>
      <w:tr>
        <w:tc>
          <w:tcPr/>
          <w:p>
            <w:pPr>
              <w:pStyle w:val="Compact"/>
            </w:pPr>
            <w:r>
              <w:t xml:space="preserve">Energy Resources adjusted EPS</w:t>
            </w:r>
          </w:p>
        </w:tc>
        <w:tc>
          <w:tcPr/>
          <w:p>
            <w:pPr>
              <w:pStyle w:val="Compact"/>
              <w:jc w:val="right"/>
            </w:pPr>
            <w:r>
              <w:rPr>
                <w:b/>
                <w:bCs/>
              </w:rPr>
              <w:t xml:space="preserve">$0.53</w:t>
            </w:r>
          </w:p>
        </w:tc>
        <w:tc>
          <w:tcPr/>
          <w:p>
            <w:pPr>
              <w:pStyle w:val="Compact"/>
              <w:jc w:val="right"/>
            </w:pPr>
            <w:r>
              <w:rPr>
                <w:b/>
                <w:bCs/>
              </w:rPr>
              <w:t xml:space="preserve">$0.50</w:t>
            </w:r>
          </w:p>
        </w:tc>
        <w:tc>
          <w:tcPr/>
          <w:p>
            <w:pPr>
              <w:pStyle w:val="Compact"/>
            </w:pPr>
            <w:r>
              <w:t xml:space="preserve">New investments, financing costs and customer supply</w:t>
            </w:r>
          </w:p>
        </w:tc>
      </w:tr>
      <w:tr>
        <w:tc>
          <w:tcPr/>
          <w:p>
            <w:pPr>
              <w:pStyle w:val="Compact"/>
            </w:pPr>
            <w:r>
              <w:t xml:space="preserve">Corporate &amp; Other adjusted EPS</w:t>
            </w:r>
          </w:p>
        </w:tc>
        <w:tc>
          <w:tcPr/>
          <w:p>
            <w:pPr>
              <w:pStyle w:val="Compact"/>
              <w:jc w:val="right"/>
            </w:pPr>
            <w:r>
              <w:rPr>
                <w:b/>
                <w:bCs/>
              </w:rPr>
              <w:t xml:space="preserve">$(0.10)</w:t>
            </w:r>
          </w:p>
        </w:tc>
        <w:tc>
          <w:tcPr/>
          <w:p>
            <w:pPr>
              <w:pStyle w:val="Compact"/>
              <w:jc w:val="right"/>
            </w:pPr>
            <w:r>
              <w:rPr>
                <w:b/>
                <w:bCs/>
              </w:rPr>
              <w:t xml:space="preserve">$(0.11)</w:t>
            </w:r>
          </w:p>
        </w:tc>
        <w:tc>
          <w:tcPr/>
          <w:p>
            <w:pPr>
              <w:pStyle w:val="Compact"/>
            </w:pPr>
            <w:r>
              <w:t xml:space="preserve">Holding-company financing costs</w:t>
            </w:r>
          </w:p>
        </w:tc>
      </w:tr>
      <w:tr>
        <w:tc>
          <w:tcPr/>
          <w:p>
            <w:pPr>
              <w:pStyle w:val="Compact"/>
            </w:pPr>
            <w:r>
              <w:t xml:space="preserve">Energy Resources backlog</w:t>
            </w:r>
          </w:p>
        </w:tc>
        <w:tc>
          <w:tcPr/>
          <w:p>
            <w:pPr>
              <w:pStyle w:val="Compact"/>
              <w:jc w:val="right"/>
            </w:pPr>
            <w:r>
              <w:t xml:space="preserve">Nearly</w:t>
            </w:r>
            <w:r>
              <w:t xml:space="preserve"> </w:t>
            </w:r>
            <w:r>
              <w:rPr>
                <w:b/>
                <w:bCs/>
              </w:rPr>
              <w:t xml:space="preserve">30 GW</w:t>
            </w:r>
          </w:p>
        </w:tc>
        <w:tc>
          <w:tcPr/>
          <w:p>
            <w:pPr>
              <w:pStyle w:val="Compact"/>
              <w:jc w:val="right"/>
            </w:pPr>
            <w:r>
              <w:t xml:space="preserve">Approximately</w:t>
            </w:r>
            <w:r>
              <w:t xml:space="preserve"> </w:t>
            </w:r>
            <w:r>
              <w:rPr>
                <w:b/>
                <w:bCs/>
              </w:rPr>
              <w:t xml:space="preserve">33 GW</w:t>
            </w:r>
          </w:p>
        </w:tc>
        <w:tc>
          <w:tcPr/>
          <w:p>
            <w:pPr>
              <w:pStyle w:val="Compact"/>
            </w:pPr>
            <w:r>
              <w:t xml:space="preserve">New additions versus projects entering service</w:t>
            </w:r>
          </w:p>
        </w:tc>
      </w:tr>
    </w:tbl>
    <w:p>
      <w:pPr>
        <w:pStyle w:val="BodyText"/>
      </w:pPr>
      <w:r>
        <w:t xml:space="preserve">Management entered the quarter targeting the</w:t>
      </w:r>
      <w:r>
        <w:t xml:space="preserve"> </w:t>
      </w:r>
      <w:r>
        <w:rPr>
          <w:b/>
          <w:bCs/>
        </w:rPr>
        <w:t xml:space="preserve">high end</w:t>
      </w:r>
      <w:r>
        <w:t xml:space="preserve"> </w:t>
      </w:r>
      <w:r>
        <w:t xml:space="preserve">of its 2026 adjusted EPS range of</w:t>
      </w:r>
      <w:r>
        <w:t xml:space="preserve"> </w:t>
      </w:r>
      <m:oMath>
        <m:r>
          <m:t>3.92</m:t>
        </m:r>
        <m:r>
          <m:rPr>
            <m:sty m:val="p"/>
          </m:rPr>
          <m:t>–</m:t>
        </m:r>
      </m:oMath>
      <w:r>
        <w:rPr>
          <w:b/>
          <w:bCs/>
        </w:rPr>
        <w:t xml:space="preserve">4.02</w:t>
      </w:r>
      <w:r>
        <w:t xml:space="preserve">. First-quarter adjusted EPS grew 10% to $1.09, leaving the company with a solid start to the year.</w:t>
      </w:r>
    </w:p>
    <w:p>
      <w:pPr>
        <w:pStyle w:val="BodyText"/>
      </w:pPr>
      <w:r>
        <w:t xml:space="preserve">A simple reiteration of guidance would be acceptable, but investors will probably look for continued “high-end” language. Any retreat to merely achieving the range could be interpreted as a softening outlook.</w:t>
      </w:r>
    </w:p>
    <w:p>
      <w:r>
        <w:pict>
          <v:rect style="width:0;height:1.5pt" o:hralign="center" o:hrstd="t" o:hr="t"/>
        </w:pict>
      </w:r>
    </w:p>
    <w:bookmarkEnd w:id="10"/>
    <w:bookmarkStart w:id="12" w:name="X94469136772f1f7b6f86b71bc97e9fe48fd3337"/>
    <w:p>
      <w:pPr>
        <w:pStyle w:val="Heading2"/>
      </w:pPr>
      <w:r>
        <w:t xml:space="preserve">1. The Dominion transaction will dominate the call</w:t>
      </w:r>
    </w:p>
    <w:p>
      <w:pPr>
        <w:pStyle w:val="FirstParagraph"/>
      </w:pPr>
      <w:r>
        <w:t xml:space="preserve">On May 18, NextEra announced an all-stock combination with Dominion Energy. Dominion shareholders are to receive</w:t>
      </w:r>
      <w:r>
        <w:t xml:space="preserve"> </w:t>
      </w:r>
      <w:r>
        <w:rPr>
          <w:b/>
          <w:bCs/>
        </w:rPr>
        <w:t xml:space="preserve">0.8138 NEE shares per Dominion share</w:t>
      </w:r>
      <w:r>
        <w:t xml:space="preserve">, plus their pro rata portion of a</w:t>
      </w:r>
      <w:r>
        <w:t xml:space="preserve"> </w:t>
      </w:r>
      <w:r>
        <w:rPr>
          <w:b/>
          <w:bCs/>
        </w:rPr>
        <w:t xml:space="preserve">$360 million cash payment</w:t>
      </w:r>
      <w:r>
        <w:t xml:space="preserve"> </w:t>
      </w:r>
      <w:r>
        <w:t xml:space="preserve">at closing. Existing NEE shareholders are expected to own approximately 74.5% of the combined company.</w:t>
      </w:r>
    </w:p>
    <w:p>
      <w:pPr>
        <w:pStyle w:val="BodyText"/>
      </w:pPr>
      <w:r>
        <w:t xml:space="preserve">Management’s strategic case is substantial:</w:t>
      </w:r>
    </w:p>
    <w:p>
      <w:pPr>
        <w:pStyle w:val="Compact"/>
        <w:numPr>
          <w:ilvl w:val="0"/>
          <w:numId w:val="1003"/>
        </w:numPr>
      </w:pPr>
      <w:r>
        <w:t xml:space="preserve">More than</w:t>
      </w:r>
      <w:r>
        <w:t xml:space="preserve"> </w:t>
      </w:r>
      <w:r>
        <w:rPr>
          <w:b/>
          <w:bCs/>
        </w:rPr>
        <w:t xml:space="preserve">80% regulated</w:t>
      </w:r>
      <w:r>
        <w:t xml:space="preserve"> </w:t>
      </w:r>
      <w:r>
        <w:t xml:space="preserve">business mix after closing.</w:t>
      </w:r>
    </w:p>
    <w:p>
      <w:pPr>
        <w:pStyle w:val="Compact"/>
        <w:numPr>
          <w:ilvl w:val="0"/>
          <w:numId w:val="1003"/>
        </w:numPr>
      </w:pPr>
      <w:r>
        <w:t xml:space="preserve">Approximately</w:t>
      </w:r>
      <w:r>
        <w:t xml:space="preserve"> </w:t>
      </w:r>
      <w:r>
        <w:rPr>
          <w:b/>
          <w:bCs/>
        </w:rPr>
        <w:t xml:space="preserve">10 million utility customer accounts</w:t>
      </w:r>
      <w:r>
        <w:t xml:space="preserve">.</w:t>
      </w:r>
    </w:p>
    <w:p>
      <w:pPr>
        <w:pStyle w:val="Compact"/>
        <w:numPr>
          <w:ilvl w:val="0"/>
          <w:numId w:val="1003"/>
        </w:numPr>
      </w:pPr>
      <w:r>
        <w:t xml:space="preserve">A combined</w:t>
      </w:r>
      <w:r>
        <w:t xml:space="preserve"> </w:t>
      </w:r>
      <w:r>
        <w:rPr>
          <w:b/>
          <w:bCs/>
        </w:rPr>
        <w:t xml:space="preserve">$138 billion regulated rate base</w:t>
      </w:r>
      <w:r>
        <w:t xml:space="preserve"> </w:t>
      </w:r>
      <w:r>
        <w:t xml:space="preserve">as of year-end 2025.</w:t>
      </w:r>
    </w:p>
    <w:p>
      <w:pPr>
        <w:pStyle w:val="Compact"/>
        <w:numPr>
          <w:ilvl w:val="0"/>
          <w:numId w:val="1003"/>
        </w:numPr>
      </w:pPr>
      <w:r>
        <w:t xml:space="preserve">Expected regulatory capital growth of approximately</w:t>
      </w:r>
      <w:r>
        <w:t xml:space="preserve"> </w:t>
      </w:r>
      <w:r>
        <w:rPr>
          <w:b/>
          <w:bCs/>
        </w:rPr>
        <w:t xml:space="preserve">11% annually through 2032</w:t>
      </w:r>
      <w:r>
        <w:t xml:space="preserve">.</w:t>
      </w:r>
    </w:p>
    <w:p>
      <w:pPr>
        <w:pStyle w:val="Compact"/>
        <w:numPr>
          <w:ilvl w:val="0"/>
          <w:numId w:val="1003"/>
        </w:numPr>
      </w:pPr>
      <w:r>
        <w:t xml:space="preserve">A combined large-load pipeline exceeding</w:t>
      </w:r>
      <w:r>
        <w:t xml:space="preserve"> </w:t>
      </w:r>
      <w:r>
        <w:rPr>
          <w:b/>
          <w:bCs/>
        </w:rPr>
        <w:t xml:space="preserve">130 GW</w:t>
      </w:r>
      <w:r>
        <w:t xml:space="preserve">.</w:t>
      </w:r>
    </w:p>
    <w:p>
      <w:pPr>
        <w:pStyle w:val="Compact"/>
        <w:numPr>
          <w:ilvl w:val="0"/>
          <w:numId w:val="1003"/>
        </w:numPr>
      </w:pPr>
      <w:r>
        <w:t xml:space="preserve">Pro forma adjusted EPS growth expectations of</w:t>
      </w:r>
      <w:r>
        <w:t xml:space="preserve"> </w:t>
      </w:r>
      <w:r>
        <w:rPr>
          <w:b/>
          <w:bCs/>
        </w:rPr>
        <w:t xml:space="preserve">9%+ through 2032</w:t>
      </w:r>
      <w:r>
        <w:t xml:space="preserve">, versus NextEra’s previous standalone expectation of 8%+.</w:t>
      </w:r>
    </w:p>
    <w:p>
      <w:pPr>
        <w:pStyle w:val="Compact"/>
        <w:numPr>
          <w:ilvl w:val="0"/>
          <w:numId w:val="1003"/>
        </w:numPr>
      </w:pPr>
      <w:r>
        <w:t xml:space="preserve">Immediate adjusted EPS accretion at closing.</w:t>
      </w:r>
    </w:p>
    <w:p>
      <w:pPr>
        <w:pStyle w:val="Compact"/>
        <w:numPr>
          <w:ilvl w:val="0"/>
          <w:numId w:val="1003"/>
        </w:numPr>
      </w:pPr>
      <w:r>
        <w:t xml:space="preserve">Proposed</w:t>
      </w:r>
      <w:r>
        <w:t xml:space="preserve"> </w:t>
      </w:r>
      <w:r>
        <w:rPr>
          <w:b/>
          <w:bCs/>
        </w:rPr>
        <w:t xml:space="preserve">$2.25 billion of customer bill credits</w:t>
      </w:r>
      <w:r>
        <w:t xml:space="preserve"> </w:t>
      </w:r>
      <w:r>
        <w:t xml:space="preserve">across Dominion’s jurisdictions.</w:t>
      </w:r>
    </w:p>
    <w:p>
      <w:pPr>
        <w:pStyle w:val="FirstParagraph"/>
      </w:pPr>
      <w:r>
        <w:t xml:space="preserve">The preliminary S-4 was filed on July 9, advancing the shareholder-approval process, although dates for the special meetings had not yet been finalized in that filing. The transaction still requires shareholder approval and regulatory clearances including FERC, NRC and state approvals in Virginia, North Carolina and South Carolina. The original closing target was 12–18 months from announcement.</w:t>
      </w:r>
    </w:p>
    <w:bookmarkStart w:id="11" w:name="what-investors-need-to-hear"/>
    <w:p>
      <w:pPr>
        <w:pStyle w:val="Heading3"/>
      </w:pPr>
      <w:r>
        <w:t xml:space="preserve">What investors need to hear</w:t>
      </w:r>
    </w:p>
    <w:p>
      <w:pPr>
        <w:pStyle w:val="Compact"/>
        <w:numPr>
          <w:ilvl w:val="0"/>
          <w:numId w:val="1004"/>
        </w:numPr>
      </w:pPr>
      <w:r>
        <w:t xml:space="preserve">The</w:t>
      </w:r>
      <w:r>
        <w:t xml:space="preserve"> </w:t>
      </w:r>
      <w:r>
        <w:rPr>
          <w:b/>
          <w:bCs/>
        </w:rPr>
        <w:t xml:space="preserve">12–18 month closing schedule remains intact</w:t>
      </w:r>
      <w:r>
        <w:t xml:space="preserve">.</w:t>
      </w:r>
    </w:p>
    <w:p>
      <w:pPr>
        <w:pStyle w:val="Compact"/>
        <w:numPr>
          <w:ilvl w:val="0"/>
          <w:numId w:val="1004"/>
        </w:numPr>
      </w:pPr>
      <w:r>
        <w:t xml:space="preserve">No early regulatory feedback has changed the economics, customer credits or targeted accretion.</w:t>
      </w:r>
    </w:p>
    <w:p>
      <w:pPr>
        <w:pStyle w:val="Compact"/>
        <w:numPr>
          <w:ilvl w:val="0"/>
          <w:numId w:val="1004"/>
        </w:numPr>
      </w:pPr>
      <w:r>
        <w:t xml:space="preserve">Management remains confident in the proposed credit treatment and rating-agency thresholds.</w:t>
      </w:r>
    </w:p>
    <w:p>
      <w:pPr>
        <w:pStyle w:val="Compact"/>
        <w:numPr>
          <w:ilvl w:val="0"/>
          <w:numId w:val="1004"/>
        </w:numPr>
      </w:pPr>
      <w:r>
        <w:t xml:space="preserve">The Dominion process is not distracting management from FPL and Energy Resources.</w:t>
      </w:r>
    </w:p>
    <w:p>
      <w:pPr>
        <w:pStyle w:val="Compact"/>
        <w:numPr>
          <w:ilvl w:val="0"/>
          <w:numId w:val="1004"/>
        </w:numPr>
      </w:pPr>
      <w:r>
        <w:t xml:space="preserve">Transaction costs do not undermine the 2026 standalone outlook.</w:t>
      </w:r>
    </w:p>
    <w:p>
      <w:pPr>
        <w:pStyle w:val="Compact"/>
        <w:numPr>
          <w:ilvl w:val="0"/>
          <w:numId w:val="1004"/>
        </w:numPr>
      </w:pPr>
      <w:r>
        <w:t xml:space="preserve">The combined company can fund its capital plan without materially more equity than the approximately</w:t>
      </w:r>
      <w:r>
        <w:t xml:space="preserve"> </w:t>
      </w:r>
      <w:r>
        <w:rPr>
          <w:b/>
          <w:bCs/>
        </w:rPr>
        <w:t xml:space="preserve">$4 billion average annual issuance</w:t>
      </w:r>
      <w:r>
        <w:t xml:space="preserve"> </w:t>
      </w:r>
      <w:r>
        <w:t xml:space="preserve">contemplated for 2027–2032.</w:t>
      </w:r>
    </w:p>
    <w:p>
      <w:pPr>
        <w:pStyle w:val="FirstParagraph"/>
      </w:pPr>
      <w:r>
        <w:t xml:space="preserve">The merger is strategically logical, but it adds regulatory, integration and financing complexity. Management must show that NextEra’s premium operating model can be transferred to Dominion without assuming aggressive cost cuts or placing excessive pressure on customer bills.</w:t>
      </w:r>
    </w:p>
    <w:p>
      <w:r>
        <w:pict>
          <v:rect style="width:0;height:1.5pt" o:hralign="center" o:hrstd="t" o:hr="t"/>
        </w:pict>
      </w:r>
    </w:p>
    <w:bookmarkEnd w:id="11"/>
    <w:bookmarkEnd w:id="12"/>
    <w:bookmarkStart w:id="15" w:name="Xc2ec82e1ecf7a4d96d80c85d34cc1a9cbecbf13"/>
    <w:p>
      <w:pPr>
        <w:pStyle w:val="Heading2"/>
      </w:pPr>
      <w:r>
        <w:t xml:space="preserve">2. FPL should remain the earnings anchor</w:t>
      </w:r>
    </w:p>
    <w:p>
      <w:pPr>
        <w:pStyle w:val="FirstParagraph"/>
      </w:pPr>
      <w:r>
        <w:t xml:space="preserve">FPL produced first-quarter EPS of $0.70, up from $0.64, supported by</w:t>
      </w:r>
      <w:r>
        <w:t xml:space="preserve"> </w:t>
      </w:r>
      <w:r>
        <w:rPr>
          <w:b/>
          <w:bCs/>
        </w:rPr>
        <w:t xml:space="preserve">8.8% growth in regulatory capital employed</w:t>
      </w:r>
      <w:r>
        <w:t xml:space="preserve">. It added nearly 100,000 customers year over year, while retail sales increased 3.4%; weather-normalized sales rose a more modest 0.3%.</w:t>
      </w:r>
    </w:p>
    <w:p>
      <w:pPr>
        <w:pStyle w:val="BodyText"/>
      </w:pPr>
      <w:r>
        <w:t xml:space="preserve">For 2026, FPL expects to invest</w:t>
      </w:r>
      <w:r>
        <w:t xml:space="preserve"> </w:t>
      </w:r>
      <m:oMath>
        <m:r>
          <m:t>12</m:t>
        </m:r>
        <m:r>
          <m:rPr>
            <m:sty m:val="p"/>
          </m:rPr>
          <m:t>–</m:t>
        </m:r>
      </m:oMath>
      <w:r>
        <w:rPr>
          <w:b/>
          <w:bCs/>
        </w:rPr>
        <w:t xml:space="preserve">13 billion</w:t>
      </w:r>
      <w:r>
        <w:t xml:space="preserve">, materially above earlier planning levels, partly because it accelerated purchases of solar equipment to manage trade and supply-chain risks. FPL also had approximately</w:t>
      </w:r>
      <w:r>
        <w:t xml:space="preserve"> </w:t>
      </w:r>
      <w:r>
        <w:rPr>
          <w:b/>
          <w:bCs/>
        </w:rPr>
        <w:t xml:space="preserve">$1.2 billion</w:t>
      </w:r>
      <w:r>
        <w:t xml:space="preserve"> </w:t>
      </w:r>
      <w:r>
        <w:t xml:space="preserve">remaining in its after-tax rate-stabilization mechanism after using $306 million during Q1.</w:t>
      </w:r>
    </w:p>
    <w:bookmarkStart w:id="13" w:name="key-q2-indicators"/>
    <w:p>
      <w:pPr>
        <w:pStyle w:val="Heading3"/>
      </w:pPr>
      <w:r>
        <w:t xml:space="preserve">Key Q2 indicators</w:t>
      </w:r>
    </w:p>
    <w:p>
      <w:pPr>
        <w:pStyle w:val="Compact"/>
        <w:numPr>
          <w:ilvl w:val="0"/>
          <w:numId w:val="1005"/>
        </w:numPr>
      </w:pPr>
      <w:r>
        <w:rPr>
          <w:b/>
          <w:bCs/>
        </w:rPr>
        <w:t xml:space="preserve">Regulatory capital growth:</w:t>
      </w:r>
      <w:r>
        <w:t xml:space="preserve"> </w:t>
      </w:r>
      <w:r>
        <w:t xml:space="preserve">Something near the Q1 pace would support a healthy FPL earnings contribution.</w:t>
      </w:r>
    </w:p>
    <w:p>
      <w:pPr>
        <w:pStyle w:val="Compact"/>
        <w:numPr>
          <w:ilvl w:val="0"/>
          <w:numId w:val="1005"/>
        </w:numPr>
      </w:pPr>
      <w:r>
        <w:rPr>
          <w:b/>
          <w:bCs/>
        </w:rPr>
        <w:t xml:space="preserve">Customer growth:</w:t>
      </w:r>
      <w:r>
        <w:t xml:space="preserve"> </w:t>
      </w:r>
      <w:r>
        <w:t xml:space="preserve">Continued additions near 100,000 annually would reinforce the Florida demographic thesis.</w:t>
      </w:r>
    </w:p>
    <w:p>
      <w:pPr>
        <w:pStyle w:val="Compact"/>
        <w:numPr>
          <w:ilvl w:val="0"/>
          <w:numId w:val="1005"/>
        </w:numPr>
      </w:pPr>
      <w:r>
        <w:rPr>
          <w:b/>
          <w:bCs/>
        </w:rPr>
        <w:t xml:space="preserve">Weather-normalized demand:</w:t>
      </w:r>
      <w:r>
        <w:t xml:space="preserve"> </w:t>
      </w:r>
      <w:r>
        <w:t xml:space="preserve">This is more informative than headline sales. A stronger result than Q1’s 0.3% growth would be encouraging.</w:t>
      </w:r>
    </w:p>
    <w:p>
      <w:pPr>
        <w:pStyle w:val="Compact"/>
        <w:numPr>
          <w:ilvl w:val="0"/>
          <w:numId w:val="1005"/>
        </w:numPr>
      </w:pPr>
      <w:r>
        <w:rPr>
          <w:b/>
          <w:bCs/>
        </w:rPr>
        <w:t xml:space="preserve">Capital-spending cadence:</w:t>
      </w:r>
      <w:r>
        <w:t xml:space="preserve"> </w:t>
      </w:r>
      <w:r>
        <w:t xml:space="preserve">Investors should distinguish productive rate-base investment from precautionary inventory purchases.</w:t>
      </w:r>
    </w:p>
    <w:p>
      <w:pPr>
        <w:pStyle w:val="Compact"/>
        <w:numPr>
          <w:ilvl w:val="0"/>
          <w:numId w:val="1005"/>
        </w:numPr>
      </w:pPr>
      <w:r>
        <w:rPr>
          <w:b/>
          <w:bCs/>
        </w:rPr>
        <w:t xml:space="preserve">Rate-stabilization balance:</w:t>
      </w:r>
      <w:r>
        <w:t xml:space="preserve"> </w:t>
      </w:r>
      <w:r>
        <w:t xml:space="preserve">Faster use of the remaining reserve could raise questions about later-period earnings flexibility.</w:t>
      </w:r>
    </w:p>
    <w:p>
      <w:pPr>
        <w:pStyle w:val="Compact"/>
        <w:numPr>
          <w:ilvl w:val="0"/>
          <w:numId w:val="1005"/>
        </w:numPr>
      </w:pPr>
      <w:r>
        <w:rPr>
          <w:b/>
          <w:bCs/>
        </w:rPr>
        <w:t xml:space="preserve">Return on equity:</w:t>
      </w:r>
      <w:r>
        <w:t xml:space="preserve"> </w:t>
      </w:r>
      <w:r>
        <w:t xml:space="preserve">FPL reported an approximately 11.7% regulatory ROE for the 12 months through March.</w:t>
      </w:r>
    </w:p>
    <w:bookmarkEnd w:id="13"/>
    <w:bookmarkStart w:id="14" w:name="X22f9ebc71a6d8bc8f101494972db65fe6dceaf5"/>
    <w:p>
      <w:pPr>
        <w:pStyle w:val="Heading3"/>
      </w:pPr>
      <w:r>
        <w:t xml:space="preserve">Large-load conversion is the potential catalyst</w:t>
      </w:r>
    </w:p>
    <w:p>
      <w:pPr>
        <w:pStyle w:val="FirstParagraph"/>
      </w:pPr>
      <w:r>
        <w:t xml:space="preserve">FPL had identified approximately</w:t>
      </w:r>
      <w:r>
        <w:t xml:space="preserve"> </w:t>
      </w:r>
      <w:r>
        <w:rPr>
          <w:b/>
          <w:bCs/>
        </w:rPr>
        <w:t xml:space="preserve">21 GW of large-load interest</w:t>
      </w:r>
      <w:r>
        <w:t xml:space="preserve">, including roughly</w:t>
      </w:r>
      <w:r>
        <w:t xml:space="preserve"> </w:t>
      </w:r>
      <w:r>
        <w:rPr>
          <w:b/>
          <w:bCs/>
        </w:rPr>
        <w:t xml:space="preserve">12 GW in advanced discussions</w:t>
      </w:r>
      <w:r>
        <w:t xml:space="preserve">, and expected to sign at least one customer under its large-load tariff by year-end 2026.</w:t>
      </w:r>
    </w:p>
    <w:p>
      <w:pPr>
        <w:pStyle w:val="BodyText"/>
      </w:pPr>
      <w:r>
        <w:t xml:space="preserve">Management estimates that each gigawatt served under the tariff could require approximately</w:t>
      </w:r>
      <w:r>
        <w:t xml:space="preserve"> </w:t>
      </w:r>
      <w:r>
        <w:rPr>
          <w:b/>
          <w:bCs/>
        </w:rPr>
        <w:t xml:space="preserve">$2 billion of capital</w:t>
      </w:r>
      <w:r>
        <w:t xml:space="preserve">, earning the same ROE as other FPL investments. The proposed Dominion combination presentation later assumed 8 GW of FPL large load through 2032.</w:t>
      </w:r>
    </w:p>
    <w:p>
      <w:pPr>
        <w:pStyle w:val="BodyText"/>
      </w:pPr>
      <w:r>
        <w:t xml:space="preserve">A signed customer would be more valuable than another increase in preliminary interest. It would validate the tariff, increase rate-base visibility and show that FPL can capture data-center demand without shifting costs to existing residential customers.</w:t>
      </w:r>
    </w:p>
    <w:p>
      <w:r>
        <w:pict>
          <v:rect style="width:0;height:1.5pt" o:hralign="center" o:hrstd="t" o:hr="t"/>
        </w:pict>
      </w:r>
    </w:p>
    <w:bookmarkEnd w:id="14"/>
    <w:bookmarkEnd w:id="15"/>
    <w:bookmarkStart w:id="17" w:name="X3d23fc7356058099bcbc891605210dd55aadf5c"/>
    <w:p>
      <w:pPr>
        <w:pStyle w:val="Heading2"/>
      </w:pPr>
      <w:r>
        <w:t xml:space="preserve">3. Energy Resources backlog remains the best operating demand signal</w:t>
      </w:r>
    </w:p>
    <w:p>
      <w:pPr>
        <w:pStyle w:val="FirstParagraph"/>
      </w:pPr>
      <w:r>
        <w:t xml:space="preserve">Energy Resources added a record</w:t>
      </w:r>
      <w:r>
        <w:t xml:space="preserve"> </w:t>
      </w:r>
      <w:r>
        <w:rPr>
          <w:b/>
          <w:bCs/>
        </w:rPr>
        <w:t xml:space="preserve">4 GW</w:t>
      </w:r>
      <w:r>
        <w:t xml:space="preserve"> </w:t>
      </w:r>
      <w:r>
        <w:t xml:space="preserve">of renewables and storage projects to backlog in Q1, including</w:t>
      </w:r>
      <w:r>
        <w:t xml:space="preserve"> </w:t>
      </w:r>
      <w:r>
        <w:rPr>
          <w:b/>
          <w:bCs/>
        </w:rPr>
        <w:t xml:space="preserve">1.3 GW of battery storage</w:t>
      </w:r>
      <w:r>
        <w:t xml:space="preserve">, bringing total backlog to approximately</w:t>
      </w:r>
      <w:r>
        <w:t xml:space="preserve"> </w:t>
      </w:r>
      <w:r>
        <w:rPr>
          <w:b/>
          <w:bCs/>
        </w:rPr>
        <w:t xml:space="preserve">33 GW</w:t>
      </w:r>
      <w:r>
        <w:t xml:space="preserve"> </w:t>
      </w:r>
      <w:r>
        <w:t xml:space="preserve">after 0.3 GW entered service.</w:t>
      </w:r>
    </w:p>
    <w:p>
      <w:pPr>
        <w:pStyle w:val="BodyText"/>
      </w:pPr>
      <w:r>
        <w:t xml:space="preserve">About 30% of Q1 additions were associated with hyperscalers, while 70% came from utilities, cooperatives and municipalities. That mix matters: it shows that demand is broader than the data-center theme.</w:t>
      </w:r>
    </w:p>
    <w:bookmarkStart w:id="16" w:name="what-would-constitute-a-strong-quarter"/>
    <w:p>
      <w:pPr>
        <w:pStyle w:val="Heading3"/>
      </w:pPr>
      <w:r>
        <w:t xml:space="preserve">What would constitute a strong quarter</w:t>
      </w:r>
    </w:p>
    <w:p>
      <w:pPr>
        <w:pStyle w:val="Compact"/>
        <w:numPr>
          <w:ilvl w:val="0"/>
          <w:numId w:val="1006"/>
        </w:numPr>
      </w:pPr>
      <w:r>
        <w:t xml:space="preserve">New backlog additions of roughly</w:t>
      </w:r>
      <w:r>
        <w:t xml:space="preserve"> </w:t>
      </w:r>
      <w:r>
        <w:rPr>
          <w:b/>
          <w:bCs/>
        </w:rPr>
        <w:t xml:space="preserve">3 GW or more</w:t>
      </w:r>
      <w:r>
        <w:t xml:space="preserve">.</w:t>
      </w:r>
    </w:p>
    <w:p>
      <w:pPr>
        <w:pStyle w:val="Compact"/>
        <w:numPr>
          <w:ilvl w:val="0"/>
          <w:numId w:val="1006"/>
        </w:numPr>
      </w:pPr>
      <w:r>
        <w:t xml:space="preserve">Continued strength in battery storage.</w:t>
      </w:r>
    </w:p>
    <w:p>
      <w:pPr>
        <w:pStyle w:val="Compact"/>
        <w:numPr>
          <w:ilvl w:val="0"/>
          <w:numId w:val="1006"/>
        </w:numPr>
      </w:pPr>
      <w:r>
        <w:t xml:space="preserve">A stable or rising total backlog after accounting for projects placed into service.</w:t>
      </w:r>
    </w:p>
    <w:p>
      <w:pPr>
        <w:pStyle w:val="Compact"/>
        <w:numPr>
          <w:ilvl w:val="0"/>
          <w:numId w:val="1006"/>
        </w:numPr>
      </w:pPr>
      <w:r>
        <w:t xml:space="preserve">More detail on project economics, customer credit quality and contract duration.</w:t>
      </w:r>
    </w:p>
    <w:p>
      <w:pPr>
        <w:pStyle w:val="Compact"/>
        <w:numPr>
          <w:ilvl w:val="0"/>
          <w:numId w:val="1006"/>
        </w:numPr>
      </w:pPr>
      <w:r>
        <w:t xml:space="preserve">No material delays from permitting, interconnection, labor or equipment availability.</w:t>
      </w:r>
    </w:p>
    <w:p>
      <w:pPr>
        <w:pStyle w:val="Compact"/>
        <w:numPr>
          <w:ilvl w:val="0"/>
          <w:numId w:val="1006"/>
        </w:numPr>
      </w:pPr>
      <w:r>
        <w:t xml:space="preserve">Continued evidence that new investments are outgrowing higher financing costs.</w:t>
      </w:r>
    </w:p>
    <w:p>
      <w:pPr>
        <w:pStyle w:val="FirstParagraph"/>
      </w:pPr>
      <w:r>
        <w:t xml:space="preserve">NextEra entered the quarter with solar panels and domestic battery supply secured through 2029, key wind components through 2027 and transformer capacity through the end of the decade. This supply-chain positioning should permit Energy Resources to contract projects when less-prepared competitors cannot guarantee delivery dates.</w:t>
      </w:r>
    </w:p>
    <w:p>
      <w:pPr>
        <w:pStyle w:val="BodyText"/>
      </w:pPr>
      <w:r>
        <w:t xml:space="preserve">The main risk is that robust origination does not automatically translate into attractive returns. Investors should listen for evidence that pricing, contract protections and expected equity returns remain disciplined as projects become larger and more complex.</w:t>
      </w:r>
    </w:p>
    <w:p>
      <w:r>
        <w:pict>
          <v:rect style="width:0;height:1.5pt" o:hralign="center" o:hrstd="t" o:hr="t"/>
        </w:pict>
      </w:r>
    </w:p>
    <w:bookmarkEnd w:id="16"/>
    <w:bookmarkEnd w:id="17"/>
    <w:bookmarkStart w:id="19" w:name="X6287f0dea07c3412922e12ed5e01bccca21665a"/>
    <w:p>
      <w:pPr>
        <w:pStyle w:val="Heading2"/>
      </w:pPr>
      <w:r>
        <w:t xml:space="preserve">4. The 9.5 GW U.S.-Japan gas projects face a near-term milestone</w:t>
      </w:r>
    </w:p>
    <w:p>
      <w:pPr>
        <w:pStyle w:val="FirstParagraph"/>
      </w:pPr>
      <w:r>
        <w:t xml:space="preserve">In Q1, management disclosed that the Department of Commerce had selected Energy Resources to develop, build and operate</w:t>
      </w:r>
      <w:r>
        <w:t xml:space="preserve"> </w:t>
      </w:r>
      <w:r>
        <w:rPr>
          <w:b/>
          <w:bCs/>
        </w:rPr>
        <w:t xml:space="preserve">9.5 GW of gas-fired generation</w:t>
      </w:r>
      <w:r>
        <w:t xml:space="preserve"> </w:t>
      </w:r>
      <w:r>
        <w:t xml:space="preserve">in Texas and Pennsylvania in connection with Japan’s U.S. investment commitment.</w:t>
      </w:r>
    </w:p>
    <w:p>
      <w:pPr>
        <w:pStyle w:val="BodyText"/>
      </w:pPr>
      <w:r>
        <w:t xml:space="preserve">Management said definitive agreements could be completed within</w:t>
      </w:r>
      <w:r>
        <w:t xml:space="preserve"> </w:t>
      </w:r>
      <w:r>
        <w:rPr>
          <w:b/>
          <w:bCs/>
        </w:rPr>
        <w:t xml:space="preserve">two to three months of the April 23 earnings call</w:t>
      </w:r>
      <w:r>
        <w:t xml:space="preserve">. The July 24 report is therefore a natural point for an update.</w:t>
      </w:r>
    </w:p>
    <w:p>
      <w:pPr>
        <w:pStyle w:val="BodyText"/>
      </w:pPr>
      <w:r>
        <w:t xml:space="preserve">The projects are potentially important because they would be owned by the U.S. and Japan, making the opportunity highly capital-light for NextEra. NextEra expects to receive development, construction and ongoing operating fees rather than fund the generation itself.</w:t>
      </w:r>
    </w:p>
    <w:bookmarkStart w:id="18" w:name="the-most-important-questions"/>
    <w:p>
      <w:pPr>
        <w:pStyle w:val="Heading3"/>
      </w:pPr>
      <w:r>
        <w:t xml:space="preserve">The most important questions</w:t>
      </w:r>
    </w:p>
    <w:p>
      <w:pPr>
        <w:pStyle w:val="Compact"/>
        <w:numPr>
          <w:ilvl w:val="0"/>
          <w:numId w:val="1007"/>
        </w:numPr>
      </w:pPr>
      <w:r>
        <w:t xml:space="preserve">Have definitive agreements been signed?</w:t>
      </w:r>
    </w:p>
    <w:p>
      <w:pPr>
        <w:pStyle w:val="Compact"/>
        <w:numPr>
          <w:ilvl w:val="0"/>
          <w:numId w:val="1007"/>
        </w:numPr>
      </w:pPr>
      <w:r>
        <w:t xml:space="preserve">If not, what remains unresolved, and has the timeline changed?</w:t>
      </w:r>
    </w:p>
    <w:p>
      <w:pPr>
        <w:pStyle w:val="Compact"/>
        <w:numPr>
          <w:ilvl w:val="0"/>
          <w:numId w:val="1007"/>
        </w:numPr>
      </w:pPr>
      <w:r>
        <w:t xml:space="preserve">What is the expected earnings contribution and timing?</w:t>
      </w:r>
    </w:p>
    <w:p>
      <w:pPr>
        <w:pStyle w:val="Compact"/>
        <w:numPr>
          <w:ilvl w:val="0"/>
          <w:numId w:val="1007"/>
        </w:numPr>
      </w:pPr>
      <w:r>
        <w:t xml:space="preserve">How much completion, cost-overrun or performance risk remains with NextEra?</w:t>
      </w:r>
    </w:p>
    <w:p>
      <w:pPr>
        <w:pStyle w:val="Compact"/>
        <w:numPr>
          <w:ilvl w:val="0"/>
          <w:numId w:val="1007"/>
        </w:numPr>
      </w:pPr>
      <w:r>
        <w:t xml:space="preserve">Have turbine, pipeline, transmission, permitting and EPC arrangements advanced?</w:t>
      </w:r>
    </w:p>
    <w:p>
      <w:pPr>
        <w:pStyle w:val="Compact"/>
        <w:numPr>
          <w:ilvl w:val="0"/>
          <w:numId w:val="1007"/>
        </w:numPr>
      </w:pPr>
      <w:r>
        <w:t xml:space="preserve">Can the projects contribute meaningfully before the end of the decade?</w:t>
      </w:r>
    </w:p>
    <w:p>
      <w:pPr>
        <w:pStyle w:val="FirstParagraph"/>
      </w:pPr>
      <w:r>
        <w:t xml:space="preserve">A signed, economically detailed agreement would likely be one of the strongest possible positive catalysts in the report. A vague delay would not necessarily break the thesis, but it would reduce confidence in management’s broader data-center hub opportunity.</w:t>
      </w:r>
    </w:p>
    <w:p>
      <w:r>
        <w:pict>
          <v:rect style="width:0;height:1.5pt" o:hralign="center" o:hrstd="t" o:hr="t"/>
        </w:pict>
      </w:r>
    </w:p>
    <w:bookmarkEnd w:id="18"/>
    <w:bookmarkEnd w:id="19"/>
    <w:bookmarkStart w:id="20" w:name="X0f6004b540b04c7a2329cdbda43a2802f67ad8b"/>
    <w:p>
      <w:pPr>
        <w:pStyle w:val="Heading2"/>
      </w:pPr>
      <w:r>
        <w:t xml:space="preserve">5. Data centers: investors need conversion, not a larger pipeline</w:t>
      </w:r>
    </w:p>
    <w:p>
      <w:pPr>
        <w:pStyle w:val="FirstParagraph"/>
      </w:pPr>
      <w:r>
        <w:t xml:space="preserve">NextEra’s standalone strategy calls for securing</w:t>
      </w:r>
      <w:r>
        <w:t xml:space="preserve"> </w:t>
      </w:r>
      <w:r>
        <w:rPr>
          <w:b/>
          <w:bCs/>
        </w:rPr>
        <w:t xml:space="preserve">15 GW of generation for large loads by 2035</w:t>
      </w:r>
      <w:r>
        <w:t xml:space="preserve">, with an upside case of 30 GW or more. The company had more than 30 data-center hubs under development and targeted approximately 40 by year-end.</w:t>
      </w:r>
    </w:p>
    <w:p>
      <w:pPr>
        <w:pStyle w:val="BodyText"/>
      </w:pPr>
      <w:r>
        <w:t xml:space="preserve">The company is pursuing opportunities through four channels:</w:t>
      </w:r>
    </w:p>
    <w:p>
      <w:pPr>
        <w:pStyle w:val="Compact"/>
        <w:numPr>
          <w:ilvl w:val="0"/>
          <w:numId w:val="1008"/>
        </w:numPr>
      </w:pPr>
      <w:r>
        <w:t xml:space="preserve">Directly with hyperscalers.</w:t>
      </w:r>
    </w:p>
    <w:p>
      <w:pPr>
        <w:pStyle w:val="Compact"/>
        <w:numPr>
          <w:ilvl w:val="0"/>
          <w:numId w:val="1008"/>
        </w:numPr>
      </w:pPr>
      <w:r>
        <w:t xml:space="preserve">In partnership with investor-owned utilities.</w:t>
      </w:r>
    </w:p>
    <w:p>
      <w:pPr>
        <w:pStyle w:val="Compact"/>
        <w:numPr>
          <w:ilvl w:val="0"/>
          <w:numId w:val="1008"/>
        </w:numPr>
      </w:pPr>
      <w:r>
        <w:t xml:space="preserve">Through cooperatives and municipalities.</w:t>
      </w:r>
    </w:p>
    <w:p>
      <w:pPr>
        <w:pStyle w:val="Compact"/>
        <w:numPr>
          <w:ilvl w:val="0"/>
          <w:numId w:val="1008"/>
        </w:numPr>
      </w:pPr>
      <w:r>
        <w:t xml:space="preserve">With the federal government.</w:t>
      </w:r>
    </w:p>
    <w:p>
      <w:pPr>
        <w:pStyle w:val="FirstParagraph"/>
      </w:pPr>
      <w:r>
        <w:t xml:space="preserve">The breadth of opportunity is impressive, but the next stage is execution. Investors need definitive offtake agreements, project-level returns and in-service dates.</w:t>
      </w:r>
    </w:p>
    <w:p>
      <w:pPr>
        <w:pStyle w:val="BodyText"/>
      </w:pPr>
      <w:r>
        <w:t xml:space="preserve">Management should also clarify how much of the</w:t>
      </w:r>
      <w:r>
        <w:t xml:space="preserve"> </w:t>
      </w:r>
      <w:r>
        <w:rPr>
          <w:b/>
          <w:bCs/>
        </w:rPr>
        <w:t xml:space="preserve">60 GW Energy Resources large-load pipeline</w:t>
      </w:r>
      <w:r>
        <w:t xml:space="preserve"> </w:t>
      </w:r>
      <w:r>
        <w:t xml:space="preserve">used in the Dominion presentation represents advanced commercial discussions versus earlier-stage development concepts. A high-quality update would segment the pipeline by development stage and expected timing.</w:t>
      </w:r>
    </w:p>
    <w:p>
      <w:r>
        <w:pict>
          <v:rect style="width:0;height:1.5pt" o:hralign="center" o:hrstd="t" o:hr="t"/>
        </w:pict>
      </w:r>
    </w:p>
    <w:bookmarkEnd w:id="20"/>
    <w:bookmarkStart w:id="21" w:name="X630f6878556086acd7a1caac38437bac2c75cc0"/>
    <w:p>
      <w:pPr>
        <w:pStyle w:val="Heading2"/>
      </w:pPr>
      <w:r>
        <w:t xml:space="preserve">6. Nuclear and recontracting could add incremental upside</w:t>
      </w:r>
    </w:p>
    <w:p>
      <w:pPr>
        <w:pStyle w:val="FirstParagraph"/>
      </w:pPr>
      <w:r>
        <w:t xml:space="preserve">Several nuclear-related projects merit attention:</w:t>
      </w:r>
    </w:p>
    <w:p>
      <w:pPr>
        <w:pStyle w:val="Compact"/>
        <w:numPr>
          <w:ilvl w:val="0"/>
          <w:numId w:val="1009"/>
        </w:numPr>
      </w:pPr>
      <w:r>
        <w:rPr>
          <w:b/>
          <w:bCs/>
        </w:rPr>
        <w:t xml:space="preserve">Duane Arnold:</w:t>
      </w:r>
      <w:r>
        <w:t xml:space="preserve"> </w:t>
      </w:r>
      <w:r>
        <w:t xml:space="preserve">Management previously expected the Iowa plant to return to service no later than Q1 2029. The NRC had approved a transfer that would give NextEra full ownership, while the interconnection-rights process was advancing.</w:t>
      </w:r>
    </w:p>
    <w:p>
      <w:pPr>
        <w:pStyle w:val="Compact"/>
        <w:numPr>
          <w:ilvl w:val="0"/>
          <w:numId w:val="1009"/>
        </w:numPr>
      </w:pPr>
      <w:r>
        <w:rPr>
          <w:b/>
          <w:bCs/>
        </w:rPr>
        <w:t xml:space="preserve">Point Beach:</w:t>
      </w:r>
      <w:r>
        <w:t xml:space="preserve"> </w:t>
      </w:r>
      <w:r>
        <w:t xml:space="preserve">Management reported substantial interest in the asset as its power contract approaches expiration.</w:t>
      </w:r>
    </w:p>
    <w:p>
      <w:pPr>
        <w:pStyle w:val="Compact"/>
        <w:numPr>
          <w:ilvl w:val="0"/>
          <w:numId w:val="1009"/>
        </w:numPr>
      </w:pPr>
      <w:r>
        <w:rPr>
          <w:b/>
          <w:bCs/>
        </w:rPr>
        <w:t xml:space="preserve">Other recontracting:</w:t>
      </w:r>
      <w:r>
        <w:t xml:space="preserve"> </w:t>
      </w:r>
      <w:r>
        <w:t xml:space="preserve">NextEra has up to 6 GW of renewable and 1.5 GW of nuclear recontracting opportunities through 2032.</w:t>
      </w:r>
    </w:p>
    <w:p>
      <w:pPr>
        <w:pStyle w:val="FirstParagraph"/>
      </w:pPr>
      <w:r>
        <w:t xml:space="preserve">In Q1, the company contracted more than 600 MW of existing projects for an average duration exceeding 18 years, at pricing approximately</w:t>
      </w:r>
      <w:r>
        <w:t xml:space="preserve"> </w:t>
      </w:r>
      <w:r>
        <w:rPr>
          <w:b/>
          <w:bCs/>
        </w:rPr>
        <w:t xml:space="preserve">$20/MWh above</w:t>
      </w:r>
      <w:r>
        <w:t xml:space="preserve"> </w:t>
      </w:r>
      <w:r>
        <w:t xml:space="preserve">the projects’ prior realized prices.</w:t>
      </w:r>
    </w:p>
    <w:p>
      <w:pPr>
        <w:pStyle w:val="BodyText"/>
      </w:pPr>
      <w:r>
        <w:t xml:space="preserve">These opportunities matter because they can increase earnings without requiring the same capital intensity or development risk as new construction. Any Point Beach contract or Duane Arnold milestone would improve visibility beyond the near-term EPS numbers.</w:t>
      </w:r>
    </w:p>
    <w:p>
      <w:r>
        <w:pict>
          <v:rect style="width:0;height:1.5pt" o:hralign="center" o:hrstd="t" o:hr="t"/>
        </w:pict>
      </w:r>
    </w:p>
    <w:bookmarkEnd w:id="21"/>
    <w:bookmarkStart w:id="22" w:name="X79fdb56c2ff3622f65df099d6faa90f5e480ae1"/>
    <w:p>
      <w:pPr>
        <w:pStyle w:val="Heading2"/>
      </w:pPr>
      <w:r>
        <w:t xml:space="preserve">7. Balance-sheet discipline remains essential</w:t>
      </w:r>
    </w:p>
    <w:p>
      <w:pPr>
        <w:pStyle w:val="FirstParagraph"/>
      </w:pPr>
      <w:r>
        <w:t xml:space="preserve">NextEra is entering a period of unusually high capital requirements. FPL expects</w:t>
      </w:r>
      <w:r>
        <w:t xml:space="preserve"> </w:t>
      </w:r>
      <m:oMath>
        <m:r>
          <m:t>12</m:t>
        </m:r>
        <m:r>
          <m:rPr>
            <m:sty m:val="p"/>
          </m:rPr>
          <m:t>–</m:t>
        </m:r>
      </m:oMath>
      <w:r>
        <w:t xml:space="preserve">13 billion of 2026 investment, Energy Resources continues to build a large contracted backlog, and the Dominion combination would create a company forecasting approximately</w:t>
      </w:r>
      <w:r>
        <w:t xml:space="preserve"> </w:t>
      </w:r>
      <w:r>
        <w:rPr>
          <w:b/>
          <w:bCs/>
        </w:rPr>
        <w:t xml:space="preserve">$59 billion of annual capital expenditure</w:t>
      </w:r>
      <w:r>
        <w:t xml:space="preserve"> </w:t>
      </w:r>
      <w:r>
        <w:t xml:space="preserve">from 2027 through 2032.</w:t>
      </w:r>
    </w:p>
    <w:p>
      <w:pPr>
        <w:pStyle w:val="BodyText"/>
      </w:pPr>
      <w:r>
        <w:t xml:space="preserve">The company issued</w:t>
      </w:r>
      <w:r>
        <w:t xml:space="preserve"> </w:t>
      </w:r>
      <w:r>
        <w:rPr>
          <w:b/>
          <w:bCs/>
        </w:rPr>
        <w:t xml:space="preserve">$3.75 billion of junior subordinated debentures</w:t>
      </w:r>
      <w:r>
        <w:t xml:space="preserve"> </w:t>
      </w:r>
      <w:r>
        <w:t xml:space="preserve">in June at initial rates ranging from 6.0% to 6.625%. The issuance helps reinforce liquidity and receives partial equity treatment from rating agencies in many cases, but it also illustrates the cost of financing the growth plan.</w:t>
      </w:r>
    </w:p>
    <w:p>
      <w:pPr>
        <w:pStyle w:val="BodyText"/>
      </w:pPr>
      <w:r>
        <w:t xml:space="preserve">Investors should monitor:</w:t>
      </w:r>
    </w:p>
    <w:p>
      <w:pPr>
        <w:pStyle w:val="Compact"/>
        <w:numPr>
          <w:ilvl w:val="0"/>
          <w:numId w:val="1010"/>
        </w:numPr>
      </w:pPr>
      <w:r>
        <w:t xml:space="preserve">Corporate and Other financing expense.</w:t>
      </w:r>
    </w:p>
    <w:p>
      <w:pPr>
        <w:pStyle w:val="Compact"/>
        <w:numPr>
          <w:ilvl w:val="0"/>
          <w:numId w:val="1010"/>
        </w:numPr>
      </w:pPr>
      <w:r>
        <w:t xml:space="preserve">Equity-issuance expectations.</w:t>
      </w:r>
    </w:p>
    <w:p>
      <w:pPr>
        <w:pStyle w:val="Compact"/>
        <w:numPr>
          <w:ilvl w:val="0"/>
          <w:numId w:val="1010"/>
        </w:numPr>
      </w:pPr>
      <w:r>
        <w:t xml:space="preserve">Asset recycling and project-level financing.</w:t>
      </w:r>
    </w:p>
    <w:p>
      <w:pPr>
        <w:pStyle w:val="Compact"/>
        <w:numPr>
          <w:ilvl w:val="0"/>
          <w:numId w:val="1010"/>
        </w:numPr>
      </w:pPr>
      <w:r>
        <w:t xml:space="preserve">Credit-rating commentary following the Dominion announcement.</w:t>
      </w:r>
    </w:p>
    <w:p>
      <w:pPr>
        <w:pStyle w:val="Compact"/>
        <w:numPr>
          <w:ilvl w:val="0"/>
          <w:numId w:val="1010"/>
        </w:numPr>
      </w:pPr>
      <w:r>
        <w:t xml:space="preserve">Whether the company’s more than</w:t>
      </w:r>
      <w:r>
        <w:t xml:space="preserve"> </w:t>
      </w:r>
      <w:r>
        <w:rPr>
          <w:b/>
          <w:bCs/>
        </w:rPr>
        <w:t xml:space="preserve">$43 billion interest-rate hedge program</w:t>
      </w:r>
      <w:r>
        <w:t xml:space="preserve"> </w:t>
      </w:r>
      <w:r>
        <w:t xml:space="preserve">continues to insulate planned financing.</w:t>
      </w:r>
    </w:p>
    <w:p>
      <w:pPr>
        <w:pStyle w:val="Compact"/>
        <w:numPr>
          <w:ilvl w:val="0"/>
          <w:numId w:val="1010"/>
        </w:numPr>
      </w:pPr>
      <w:r>
        <w:t xml:space="preserve">Operating cash-flow growth relative to EPS growth.</w:t>
      </w:r>
    </w:p>
    <w:p>
      <w:pPr>
        <w:pStyle w:val="FirstParagraph"/>
      </w:pPr>
      <w:r>
        <w:t xml:space="preserve">The market is likely to tolerate high capital spending if it is backed by regulated recovery or long-term contracts. It will be less forgiving of speculative spending or rising financing costs without corresponding earnings visibility.</w:t>
      </w:r>
    </w:p>
    <w:p>
      <w:r>
        <w:pict>
          <v:rect style="width:0;height:1.5pt" o:hralign="center" o:hrstd="t" o:hr="t"/>
        </w:pict>
      </w:r>
    </w:p>
    <w:bookmarkEnd w:id="22"/>
    <w:bookmarkStart w:id="26" w:name="potential-reaction-framework"/>
    <w:p>
      <w:pPr>
        <w:pStyle w:val="Heading2"/>
      </w:pPr>
      <w:r>
        <w:t xml:space="preserve">Potential reaction framework</w:t>
      </w:r>
    </w:p>
    <w:bookmarkStart w:id="23" w:name="bull-case"/>
    <w:p>
      <w:pPr>
        <w:pStyle w:val="Heading3"/>
      </w:pPr>
      <w:r>
        <w:t xml:space="preserve">Bull case</w:t>
      </w:r>
    </w:p>
    <w:p>
      <w:pPr>
        <w:pStyle w:val="Compact"/>
        <w:numPr>
          <w:ilvl w:val="0"/>
          <w:numId w:val="1011"/>
        </w:numPr>
      </w:pPr>
      <w:r>
        <w:t xml:space="preserve">Adjusted EPS grows comfortably from last year’s $1.05.</w:t>
      </w:r>
    </w:p>
    <w:p>
      <w:pPr>
        <w:pStyle w:val="Compact"/>
        <w:numPr>
          <w:ilvl w:val="0"/>
          <w:numId w:val="1011"/>
        </w:numPr>
      </w:pPr>
      <w:r>
        <w:t xml:space="preserve">Management reiterates the high end of the</w:t>
      </w:r>
      <w:r>
        <w:t xml:space="preserve"> </w:t>
      </w:r>
      <m:oMath>
        <m:r>
          <m:t>3.92</m:t>
        </m:r>
        <m:r>
          <m:rPr>
            <m:sty m:val="p"/>
          </m:rPr>
          <m:t>–</m:t>
        </m:r>
      </m:oMath>
      <w:r>
        <w:t xml:space="preserve">4.02 range.</w:t>
      </w:r>
    </w:p>
    <w:p>
      <w:pPr>
        <w:pStyle w:val="Compact"/>
        <w:numPr>
          <w:ilvl w:val="0"/>
          <w:numId w:val="1011"/>
        </w:numPr>
      </w:pPr>
      <w:r>
        <w:t xml:space="preserve">Energy Resources books another strong quarter of backlog additions with solid economics.</w:t>
      </w:r>
    </w:p>
    <w:p>
      <w:pPr>
        <w:pStyle w:val="Compact"/>
        <w:numPr>
          <w:ilvl w:val="0"/>
          <w:numId w:val="1011"/>
        </w:numPr>
      </w:pPr>
      <w:r>
        <w:t xml:space="preserve">Definitive agreements are announced for the U.S.-Japan projects.</w:t>
      </w:r>
    </w:p>
    <w:p>
      <w:pPr>
        <w:pStyle w:val="Compact"/>
        <w:numPr>
          <w:ilvl w:val="0"/>
          <w:numId w:val="1011"/>
        </w:numPr>
      </w:pPr>
      <w:r>
        <w:t xml:space="preserve">FPL signs or materially advances its first large-load customer.</w:t>
      </w:r>
    </w:p>
    <w:p>
      <w:pPr>
        <w:pStyle w:val="Compact"/>
        <w:numPr>
          <w:ilvl w:val="0"/>
          <w:numId w:val="1011"/>
        </w:numPr>
      </w:pPr>
      <w:r>
        <w:t xml:space="preserve">Dominion’s regulatory schedule remains intact with no changes to transaction economics.</w:t>
      </w:r>
    </w:p>
    <w:p>
      <w:pPr>
        <w:pStyle w:val="Compact"/>
        <w:numPr>
          <w:ilvl w:val="0"/>
          <w:numId w:val="1011"/>
        </w:numPr>
      </w:pPr>
      <w:r>
        <w:t xml:space="preserve">Duane Arnold or nuclear recontracting produces an additional milestone.</w:t>
      </w:r>
    </w:p>
    <w:bookmarkEnd w:id="23"/>
    <w:bookmarkStart w:id="24" w:name="base-case"/>
    <w:p>
      <w:pPr>
        <w:pStyle w:val="Heading3"/>
      </w:pPr>
      <w:r>
        <w:t xml:space="preserve">Base case</w:t>
      </w:r>
    </w:p>
    <w:p>
      <w:pPr>
        <w:pStyle w:val="Compact"/>
        <w:numPr>
          <w:ilvl w:val="0"/>
          <w:numId w:val="1012"/>
        </w:numPr>
      </w:pPr>
      <w:r>
        <w:t xml:space="preserve">Quarterly EPS is solid but not the main story.</w:t>
      </w:r>
    </w:p>
    <w:p>
      <w:pPr>
        <w:pStyle w:val="Compact"/>
        <w:numPr>
          <w:ilvl w:val="0"/>
          <w:numId w:val="1012"/>
        </w:numPr>
      </w:pPr>
      <w:r>
        <w:t xml:space="preserve">Guidance and high-end targeting are maintained.</w:t>
      </w:r>
    </w:p>
    <w:p>
      <w:pPr>
        <w:pStyle w:val="Compact"/>
        <w:numPr>
          <w:ilvl w:val="0"/>
          <w:numId w:val="1012"/>
        </w:numPr>
      </w:pPr>
      <w:r>
        <w:t xml:space="preserve">Backlog growth remains healthy, though below Q1’s record 4 GW.</w:t>
      </w:r>
    </w:p>
    <w:p>
      <w:pPr>
        <w:pStyle w:val="Compact"/>
        <w:numPr>
          <w:ilvl w:val="0"/>
          <w:numId w:val="1012"/>
        </w:numPr>
      </w:pPr>
      <w:r>
        <w:t xml:space="preserve">No FPL large-load contract yet, but year-end expectations remain.</w:t>
      </w:r>
    </w:p>
    <w:p>
      <w:pPr>
        <w:pStyle w:val="Compact"/>
        <w:numPr>
          <w:ilvl w:val="0"/>
          <w:numId w:val="1012"/>
        </w:numPr>
      </w:pPr>
      <w:r>
        <w:t xml:space="preserve">U.S.-Japan negotiations continue with a credible near-term timetable.</w:t>
      </w:r>
    </w:p>
    <w:p>
      <w:pPr>
        <w:pStyle w:val="Compact"/>
        <w:numPr>
          <w:ilvl w:val="0"/>
          <w:numId w:val="1012"/>
        </w:numPr>
      </w:pPr>
      <w:r>
        <w:t xml:space="preserve">Dominion integration and regulatory commentary is largely unchanged.</w:t>
      </w:r>
    </w:p>
    <w:bookmarkEnd w:id="24"/>
    <w:bookmarkStart w:id="25" w:name="bear-case"/>
    <w:p>
      <w:pPr>
        <w:pStyle w:val="Heading3"/>
      </w:pPr>
      <w:r>
        <w:t xml:space="preserve">Bear case</w:t>
      </w:r>
    </w:p>
    <w:p>
      <w:pPr>
        <w:pStyle w:val="Compact"/>
        <w:numPr>
          <w:ilvl w:val="0"/>
          <w:numId w:val="1013"/>
        </w:numPr>
      </w:pPr>
      <w:r>
        <w:t xml:space="preserve">Management retreats from high-end 2026 guidance.</w:t>
      </w:r>
    </w:p>
    <w:p>
      <w:pPr>
        <w:pStyle w:val="Compact"/>
        <w:numPr>
          <w:ilvl w:val="0"/>
          <w:numId w:val="1013"/>
        </w:numPr>
      </w:pPr>
      <w:r>
        <w:t xml:space="preserve">FPL weather-normalized demand weakens or rate-stabilization usage accelerates.</w:t>
      </w:r>
    </w:p>
    <w:p>
      <w:pPr>
        <w:pStyle w:val="Compact"/>
        <w:numPr>
          <w:ilvl w:val="0"/>
          <w:numId w:val="1013"/>
        </w:numPr>
      </w:pPr>
      <w:r>
        <w:t xml:space="preserve">Backlog additions slow materially or project delays increase.</w:t>
      </w:r>
    </w:p>
    <w:p>
      <w:pPr>
        <w:pStyle w:val="Compact"/>
        <w:numPr>
          <w:ilvl w:val="0"/>
          <w:numId w:val="1013"/>
        </w:numPr>
      </w:pPr>
      <w:r>
        <w:t xml:space="preserve">Financing costs rise faster than contributions from new investment.</w:t>
      </w:r>
    </w:p>
    <w:p>
      <w:pPr>
        <w:pStyle w:val="Compact"/>
        <w:numPr>
          <w:ilvl w:val="0"/>
          <w:numId w:val="1013"/>
        </w:numPr>
      </w:pPr>
      <w:r>
        <w:t xml:space="preserve">U.S.-Japan agreements are delayed without a clear explanation.</w:t>
      </w:r>
    </w:p>
    <w:p>
      <w:pPr>
        <w:pStyle w:val="Compact"/>
        <w:numPr>
          <w:ilvl w:val="0"/>
          <w:numId w:val="1013"/>
        </w:numPr>
      </w:pPr>
      <w:r>
        <w:t xml:space="preserve">The Dominion process requires concessions that weaken accretion, credit quality or customer economics.</w:t>
      </w:r>
    </w:p>
    <w:p>
      <w:pPr>
        <w:pStyle w:val="Compact"/>
        <w:numPr>
          <w:ilvl w:val="0"/>
          <w:numId w:val="1013"/>
        </w:numPr>
      </w:pPr>
      <w:r>
        <w:t xml:space="preserve">Equity-funding needs rise above the transaction plan.</w:t>
      </w:r>
    </w:p>
    <w:p>
      <w:r>
        <w:pict>
          <v:rect style="width:0;height:1.5pt" o:hralign="center" o:hrstd="t" o:hr="t"/>
        </w:pict>
      </w:r>
    </w:p>
    <w:bookmarkEnd w:id="25"/>
    <w:bookmarkEnd w:id="26"/>
    <w:bookmarkStart w:id="27" w:name="bottom-line"/>
    <w:p>
      <w:pPr>
        <w:pStyle w:val="Heading2"/>
      </w:pPr>
      <w:r>
        <w:t xml:space="preserve">Bottom line</w:t>
      </w:r>
    </w:p>
    <w:p>
      <w:pPr>
        <w:pStyle w:val="FirstParagraph"/>
      </w:pPr>
      <w:r>
        <w:t xml:space="preserve">The quarterly earnings benchmark is straightforward: NEE should show continued growth from</w:t>
      </w:r>
      <w:r>
        <w:t xml:space="preserve"> </w:t>
      </w:r>
      <w:r>
        <w:rPr>
          <w:b/>
          <w:bCs/>
        </w:rPr>
        <w:t xml:space="preserve">$1.05 of adjusted EPS in 2025 Q2</w:t>
      </w:r>
      <w:r>
        <w:t xml:space="preserve"> </w:t>
      </w:r>
      <w:r>
        <w:t xml:space="preserve">and preserve its high-end 2026 outlook. But the more important test is whether management converts an enormous opportunity pipeline into binding, financeable projects.</w:t>
      </w:r>
    </w:p>
    <w:p>
      <w:pPr>
        <w:pStyle w:val="BodyText"/>
      </w:pPr>
      <w:r>
        <w:t xml:space="preserve">The highest-value signals would be:</w:t>
      </w:r>
    </w:p>
    <w:p>
      <w:pPr>
        <w:pStyle w:val="Compact"/>
        <w:numPr>
          <w:ilvl w:val="0"/>
          <w:numId w:val="1014"/>
        </w:numPr>
      </w:pPr>
      <w:r>
        <w:t xml:space="preserve">A firm U.S.-Japan project agreement.</w:t>
      </w:r>
    </w:p>
    <w:p>
      <w:pPr>
        <w:pStyle w:val="Compact"/>
        <w:numPr>
          <w:ilvl w:val="0"/>
          <w:numId w:val="1014"/>
        </w:numPr>
      </w:pPr>
      <w:r>
        <w:t xml:space="preserve">An FPL large-load customer commitment.</w:t>
      </w:r>
    </w:p>
    <w:p>
      <w:pPr>
        <w:pStyle w:val="Compact"/>
        <w:numPr>
          <w:ilvl w:val="0"/>
          <w:numId w:val="1014"/>
        </w:numPr>
      </w:pPr>
      <w:r>
        <w:t xml:space="preserve">Another strong, economically disciplined Energy Resources origination quarter.</w:t>
      </w:r>
    </w:p>
    <w:p>
      <w:pPr>
        <w:pStyle w:val="Compact"/>
        <w:numPr>
          <w:ilvl w:val="0"/>
          <w:numId w:val="1014"/>
        </w:numPr>
      </w:pPr>
      <w:r>
        <w:t xml:space="preserve">Clear progress on Dominion approvals without higher financing or equity needs.</w:t>
      </w:r>
    </w:p>
    <w:p>
      <w:pPr>
        <w:pStyle w:val="Compact"/>
        <w:numPr>
          <w:ilvl w:val="0"/>
          <w:numId w:val="1014"/>
        </w:numPr>
      </w:pPr>
      <w:r>
        <w:t xml:space="preserve">Continued confidence in the</w:t>
      </w:r>
      <w:r>
        <w:t xml:space="preserve"> </w:t>
      </w:r>
      <m:oMath>
        <m:r>
          <m:t>3.92</m:t>
        </m:r>
        <m:r>
          <m:rPr>
            <m:sty m:val="p"/>
          </m:rPr>
          <m:t>–</m:t>
        </m:r>
      </m:oMath>
      <w:r>
        <w:rPr>
          <w:b/>
          <w:bCs/>
        </w:rPr>
        <w:t xml:space="preserve">4.02</w:t>
      </w:r>
      <w:r>
        <w:t xml:space="preserve"> </w:t>
      </w:r>
      <w:r>
        <w:t xml:space="preserve">standalone 2026 EPS range and</w:t>
      </w:r>
      <w:r>
        <w:t xml:space="preserve"> </w:t>
      </w:r>
      <w:r>
        <w:rPr>
          <w:b/>
          <w:bCs/>
        </w:rPr>
        <w:t xml:space="preserve">9%+</w:t>
      </w:r>
      <w:r>
        <w:t xml:space="preserve"> </w:t>
      </w:r>
      <w:r>
        <w:t xml:space="preserve">post-merger growth framework.</w:t>
      </w:r>
    </w:p>
    <w:p>
      <w:pPr>
        <w:pStyle w:val="FirstParagraph"/>
      </w:pPr>
      <w:r>
        <w:t xml:space="preserve">If those elements are present, investors are likely to look through normal quarterly variability. If management offers mostly larger pipelines and longer-term aspirations without concrete commercial milestones, the market may remain cautious despite otherwise solid earnings.</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2026-07-24T00:10:43Z</dcterms:created>
  <dcterms:modified xsi:type="dcterms:W3CDTF">2026-07-24T00:10:43Z</dcterms:modified>
</cp:coreProperties>
</file>

<file path=docProps/custom.xml><?xml version="1.0" encoding="utf-8"?>
<Properties xmlns="http://schemas.openxmlformats.org/officeDocument/2006/custom-properties" xmlns:vt="http://schemas.openxmlformats.org/officeDocument/2006/docPropsVTypes"/>
</file>