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4adbc1a52a15941a92fea272d9fe31c0307efa8"/>
    <w:p>
      <w:pPr>
        <w:pStyle w:val="Heading1"/>
      </w:pPr>
      <w:r>
        <w:t xml:space="preserve">NextEra Energy (NEE) — 2Q26 Earnings Preview</w:t>
      </w:r>
    </w:p>
    <w:p>
      <w:pPr>
        <w:pStyle w:val="FirstParagraph"/>
      </w:pPr>
      <w:r>
        <w:rPr>
          <w:b/>
          <w:bCs/>
        </w:rPr>
        <w:t xml:space="preserve">Earnings date:</w:t>
      </w:r>
      <w:r>
        <w:t xml:space="preserve"> </w:t>
      </w:r>
      <w:r>
        <w:t xml:space="preserve">Friday, July 24, 2026</w:t>
      </w:r>
      <w:r>
        <w:br/>
      </w:r>
      <w:r>
        <w:rPr>
          <w:b/>
          <w:bCs/>
        </w:rPr>
        <w:t xml:space="preserve">Focus:</w:t>
      </w:r>
      <w:r>
        <w:t xml:space="preserve"> </w:t>
      </w:r>
      <w:r>
        <w:t xml:space="preserve">The report matters less for a single-quarter EPS outcome than for confirmation that NEE’s stand-alone execution remains on track</w:t>
      </w:r>
      <w:r>
        <w:t xml:space="preserve"> </w:t>
      </w:r>
      <w:r>
        <w:rPr>
          <w:i/>
          <w:iCs/>
        </w:rPr>
        <w:t xml:space="preserve">and</w:t>
      </w:r>
      <w:r>
        <w:t xml:space="preserve"> </w:t>
      </w:r>
      <w:r>
        <w:t xml:space="preserve">that the proposed Dominion Energy merger is progressing without weakening balance-sheet discipline or regulatory support.</w:t>
      </w:r>
    </w:p>
    <w:bookmarkStart w:id="9" w:name="investment-framing"/>
    <w:p>
      <w:pPr>
        <w:pStyle w:val="Heading2"/>
      </w:pPr>
      <w:r>
        <w:t xml:space="preserve">Investment framing</w:t>
      </w:r>
    </w:p>
    <w:p>
      <w:pPr>
        <w:pStyle w:val="FirstParagraph"/>
      </w:pPr>
      <w:r>
        <w:t xml:space="preserve">NEE enters earnings with an unusually strong collection of growth opportunities, but also with a higher bar for execution and financing. The company’s core stand-alone plan calls for</w:t>
      </w:r>
      <w:r>
        <w:t xml:space="preserve"> </w:t>
      </w:r>
      <w:r>
        <w:rPr>
          <w:b/>
          <w:bCs/>
        </w:rPr>
        <w:t xml:space="preserve">2026 adjusted EPS of</w:t>
      </w:r>
      <w:r>
        <w:rPr>
          <w:b/>
          <w:bCs/>
        </w:rPr>
        <w:t xml:space="preserve"> </w:t>
      </w:r>
      <m:oMath>
        <m:r>
          <m:t>3.92</m:t>
        </m:r>
        <m:r>
          <m:rPr>
            <m:sty m:val="p"/>
          </m:rPr>
          <m:t>–</m:t>
        </m:r>
      </m:oMath>
      <w:r>
        <w:rPr>
          <w:b/>
          <w:bCs/>
        </w:rPr>
        <w:t xml:space="preserve">4.02</w:t>
      </w:r>
      <w:r>
        <w:t xml:space="preserve">, with management targeting the high end, and</w:t>
      </w:r>
      <w:r>
        <w:t xml:space="preserve"> </w:t>
      </w:r>
      <w:r>
        <w:rPr>
          <w:b/>
          <w:bCs/>
        </w:rPr>
        <w:t xml:space="preserve">8%+ adjusted EPS growth through 2032</w:t>
      </w:r>
      <w:r>
        <w:t xml:space="preserve"> </w:t>
      </w:r>
      <w:r>
        <w:t xml:space="preserve">off the 2025 base. Since announcing the proposed Dominion merger in May, management has presented a combined-company framework of</w:t>
      </w:r>
      <w:r>
        <w:t xml:space="preserve"> </w:t>
      </w:r>
      <w:r>
        <w:rPr>
          <w:b/>
          <w:bCs/>
        </w:rPr>
        <w:t xml:space="preserve">9%+ EPS growth</w:t>
      </w:r>
      <w:r>
        <w:t xml:space="preserve"> </w:t>
      </w:r>
      <w:r>
        <w:t xml:space="preserve">and</w:t>
      </w:r>
      <w:r>
        <w:t xml:space="preserve"> </w:t>
      </w:r>
      <w:r>
        <w:rPr>
          <w:b/>
          <w:bCs/>
        </w:rPr>
        <w:t xml:space="preserve">11% regulatory-capital-employed growth</w:t>
      </w:r>
      <w:r>
        <w:t xml:space="preserve"> </w:t>
      </w:r>
      <w:r>
        <w:t xml:space="preserve">through 2032, contingent on closing.</w:t>
      </w:r>
    </w:p>
    <w:p>
      <w:pPr>
        <w:pStyle w:val="BodyText"/>
      </w:pPr>
      <w:r>
        <w:t xml:space="preserve">The stock closed at</w:t>
      </w:r>
      <w:r>
        <w:t xml:space="preserve"> </w:t>
      </w:r>
      <w:r>
        <w:rPr>
          <w:b/>
          <w:bCs/>
        </w:rPr>
        <w:t xml:space="preserve">$89.81 on July 23</w:t>
      </w:r>
      <w:r>
        <w:t xml:space="preserve">, up roughly</w:t>
      </w:r>
      <w:r>
        <w:t xml:space="preserve"> </w:t>
      </w:r>
      <w:r>
        <w:rPr>
          <w:b/>
          <w:bCs/>
        </w:rPr>
        <w:t xml:space="preserve">11.9% year to date</w:t>
      </w:r>
      <w:r>
        <w:t xml:space="preserve">, but down about</w:t>
      </w:r>
      <w:r>
        <w:t xml:space="preserve"> </w:t>
      </w:r>
      <w:r>
        <w:rPr>
          <w:b/>
          <w:bCs/>
        </w:rPr>
        <w:t xml:space="preserve">6.7% from the April 23 pre-earnings close of $96.25</w:t>
      </w:r>
      <w:r>
        <w:t xml:space="preserve">. That leaves NEE modestly ahead of Southern and Duke year to date, yet the post-merger-announcement drawdown suggests investors want more clarity on execution, approvals, capital needs, and the timing of earnings accretion.</w:t>
      </w:r>
    </w:p>
    <w:bookmarkEnd w:id="9"/>
    <w:bookmarkStart w:id="12" w:name="what-matters-most-on-july-24"/>
    <w:p>
      <w:pPr>
        <w:pStyle w:val="Heading2"/>
      </w:pPr>
      <w:r>
        <w:t xml:space="preserve">What matters most on July 24</w:t>
      </w:r>
    </w:p>
    <w:bookmarkStart w:id="10" w:name="Xcce255d422d6f152e052fb2aa2ea45f82049651"/>
    <w:p>
      <w:pPr>
        <w:pStyle w:val="Heading3"/>
      </w:pPr>
      <w:r>
        <w:t xml:space="preserve">1. Guidance: reaffirming the high end is the baseline</w:t>
      </w:r>
    </w:p>
    <w:p>
      <w:pPr>
        <w:pStyle w:val="FirstParagraph"/>
      </w:pPr>
      <w:r>
        <w:t xml:space="preserve">NEE delivered</w:t>
      </w:r>
      <w:r>
        <w:t xml:space="preserve"> </w:t>
      </w:r>
      <m:oMath>
        <m:r>
          <m:t>1.09</m:t>
        </m:r>
        <m:r>
          <m:t>o</m:t>
        </m:r>
        <m:r>
          <m:t>f</m:t>
        </m:r>
        <m:r>
          <m:t>a</m:t>
        </m:r>
        <m:r>
          <m:t>d</m:t>
        </m:r>
        <m:r>
          <m:t>j</m:t>
        </m:r>
        <m:r>
          <m:t>u</m:t>
        </m:r>
        <m:r>
          <m:t>s</m:t>
        </m:r>
        <m:r>
          <m:t>t</m:t>
        </m:r>
        <m:r>
          <m:t>e</m:t>
        </m:r>
        <m:r>
          <m:t>d</m:t>
        </m:r>
        <m:r>
          <m:t>E</m:t>
        </m:r>
        <m:r>
          <m:t>P</m:t>
        </m:r>
        <m:r>
          <m:t>S</m:t>
        </m:r>
        <m:r>
          <m:t>i</m:t>
        </m:r>
        <m:r>
          <m:t>n</m:t>
        </m:r>
        <m:r>
          <m:t>1</m:t>
        </m:r>
        <m:r>
          <m:t>Q</m:t>
        </m:r>
        <m:r>
          <m:t>26</m:t>
        </m:r>
        <m:r>
          <m:rPr>
            <m:sty m:val="p"/>
          </m:rPr>
          <m:t>*</m:t>
        </m:r>
        <m:r>
          <m:rPr>
            <m:sty m:val="p"/>
          </m:rPr>
          <m:t>*</m:t>
        </m:r>
        <m:r>
          <m:rPr>
            <m:sty m:val="p"/>
          </m:rPr>
          <m:t>,</m:t>
        </m:r>
        <m:r>
          <m:t>u</m:t>
        </m:r>
        <m:r>
          <m:t>p</m:t>
        </m:r>
        <m:r>
          <m:t>10</m:t>
        </m:r>
      </m:oMath>
      <w:r>
        <w:rPr>
          <w:b/>
          <w:bCs/>
        </w:rPr>
        <w:t xml:space="preserve">3.92–$4.02</w:t>
      </w:r>
      <w:r>
        <w:t xml:space="preserve"> </w:t>
      </w:r>
      <w:r>
        <w:t xml:space="preserve">2026 range and, more importantly, retain language that it is targeting the high end.</w:t>
      </w:r>
    </w:p>
    <w:p>
      <w:pPr>
        <w:pStyle w:val="BodyText"/>
      </w:pPr>
      <w:r>
        <w:t xml:space="preserve">A guide reaffirmation should be viewed positively, but the quality of the underpinning matters:</w:t>
      </w:r>
    </w:p>
    <w:p>
      <w:pPr>
        <w:pStyle w:val="Compact"/>
        <w:numPr>
          <w:ilvl w:val="0"/>
          <w:numId w:val="1001"/>
        </w:numPr>
      </w:pPr>
      <w:r>
        <w:t xml:space="preserve">Is FPL’s regulatory-capital growth still tracking near its targeted high-single-digit rate?</w:t>
      </w:r>
    </w:p>
    <w:p>
      <w:pPr>
        <w:pStyle w:val="Compact"/>
        <w:numPr>
          <w:ilvl w:val="0"/>
          <w:numId w:val="1001"/>
        </w:numPr>
      </w:pPr>
      <w:r>
        <w:t xml:space="preserve">Is Energy Resources converting backlog into placed-in-service projects and earnings?</w:t>
      </w:r>
    </w:p>
    <w:p>
      <w:pPr>
        <w:pStyle w:val="Compact"/>
        <w:numPr>
          <w:ilvl w:val="0"/>
          <w:numId w:val="1001"/>
        </w:numPr>
      </w:pPr>
      <w:r>
        <w:t xml:space="preserve">Are higher financing costs being contained?</w:t>
      </w:r>
    </w:p>
    <w:p>
      <w:pPr>
        <w:pStyle w:val="Compact"/>
        <w:numPr>
          <w:ilvl w:val="0"/>
          <w:numId w:val="1001"/>
        </w:numPr>
      </w:pPr>
      <w:r>
        <w:t xml:space="preserve">Does the company identify any weather, commodity, tax-credit, construction, or tariff-related pressure?</w:t>
      </w:r>
    </w:p>
    <w:p>
      <w:pPr>
        <w:pStyle w:val="FirstParagraph"/>
      </w:pPr>
      <w:r>
        <w:t xml:space="preserve">The comparable quarter is not trivial: NEE earned</w:t>
      </w:r>
      <w:r>
        <w:t xml:space="preserve"> </w:t>
      </w:r>
      <m:oMath>
        <m:r>
          <m:t>1.05</m:t>
        </m:r>
        <m:r>
          <m:t>a</m:t>
        </m:r>
        <m:r>
          <m:t>d</m:t>
        </m:r>
        <m:r>
          <m:t>j</m:t>
        </m:r>
        <m:r>
          <m:t>u</m:t>
        </m:r>
        <m:r>
          <m:t>s</m:t>
        </m:r>
        <m:r>
          <m:t>t</m:t>
        </m:r>
        <m:r>
          <m:t>e</m:t>
        </m:r>
        <m:r>
          <m:t>d</m:t>
        </m:r>
        <m:r>
          <m:t>E</m:t>
        </m:r>
        <m:r>
          <m:t>P</m:t>
        </m:r>
        <m:r>
          <m:t>S</m:t>
        </m:r>
        <m:r>
          <m:t>i</m:t>
        </m:r>
        <m:r>
          <m:t>n</m:t>
        </m:r>
        <m:r>
          <m:t>2</m:t>
        </m:r>
        <m:r>
          <m:t>Q</m:t>
        </m:r>
        <m:r>
          <m:t>25</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0.62 at FPL</w:t>
      </w:r>
      <w:r>
        <w:t xml:space="preserve">,</w:t>
      </w:r>
      <w:r>
        <w:t xml:space="preserve"> </w:t>
      </w:r>
      <m:oMath>
        <m:r>
          <m:t>0.53</m:t>
        </m:r>
        <m:r>
          <m:t>a</m:t>
        </m:r>
        <m:r>
          <m:t>t</m:t>
        </m:r>
        <m:r>
          <m:t>E</m:t>
        </m:r>
        <m:r>
          <m:t>n</m:t>
        </m:r>
        <m:r>
          <m:t>e</m:t>
        </m:r>
        <m:r>
          <m:t>r</m:t>
        </m:r>
        <m:r>
          <m:t>g</m:t>
        </m:r>
        <m:r>
          <m:t>y</m:t>
        </m:r>
        <m:r>
          <m:t>R</m:t>
        </m:r>
        <m:r>
          <m:t>e</m:t>
        </m:r>
        <m:r>
          <m:t>s</m:t>
        </m:r>
        <m:r>
          <m:t>o</m:t>
        </m:r>
        <m:r>
          <m:t>u</m:t>
        </m:r>
        <m:r>
          <m:t>r</m:t>
        </m:r>
        <m:r>
          <m:t>c</m:t>
        </m:r>
        <m:r>
          <m:t>e</m:t>
        </m:r>
        <m:r>
          <m:t>s</m:t>
        </m:r>
        <m:r>
          <m:rPr>
            <m:sty m:val="p"/>
          </m:rPr>
          <m:t>*</m:t>
        </m:r>
        <m:r>
          <m:rPr>
            <m:sty m:val="p"/>
          </m:rPr>
          <m:t>*</m:t>
        </m:r>
        <m:r>
          <m:rPr>
            <m:sty m:val="p"/>
          </m:rPr>
          <m:t>,</m:t>
        </m:r>
        <m:r>
          <m:t>a</m:t>
        </m:r>
        <m:r>
          <m:t>n</m:t>
        </m:r>
        <m:r>
          <m:t>d</m:t>
        </m:r>
        <m:r>
          <m:t>a</m:t>
        </m:r>
        <m:r>
          <m:rPr>
            <m:sty m:val="p"/>
          </m:rPr>
          <m:t>*</m:t>
        </m:r>
        <m:r>
          <m:rPr>
            <m:sty m:val="p"/>
          </m:rPr>
          <m:t>*</m:t>
        </m:r>
      </m:oMath>
      <w:r>
        <w:rPr>
          <w:b/>
          <w:bCs/>
        </w:rPr>
        <w:t xml:space="preserve">0.10 corporate loss</w:t>
      </w:r>
      <w:r>
        <w:t xml:space="preserve">. A clean year-over-year earnings increase would be consistent with the company’s broader growth narrative.</w:t>
      </w:r>
    </w:p>
    <w:bookmarkEnd w:id="10"/>
    <w:bookmarkStart w:id="11" w:name="Xfbd36577430e5766f9466ea0c59732d4c09ae32"/>
    <w:p>
      <w:pPr>
        <w:pStyle w:val="Heading3"/>
      </w:pPr>
      <w:r>
        <w:t xml:space="preserve">2. Dominion merger: regulatory process and financial guardrails</w:t>
      </w:r>
    </w:p>
    <w:p>
      <w:pPr>
        <w:pStyle w:val="FirstParagraph"/>
      </w:pPr>
      <w:r>
        <w:t xml:space="preserve">The Dominion transaction is now likely the dominant valuation driver. Management has said the all-stock deal is expected to close in</w:t>
      </w:r>
      <w:r>
        <w:t xml:space="preserve"> </w:t>
      </w:r>
      <w:r>
        <w:rPr>
          <w:b/>
          <w:bCs/>
        </w:rPr>
        <w:t xml:space="preserve">12–18 months</w:t>
      </w:r>
      <w:r>
        <w:t xml:space="preserve">, be immediately accretive at closing, and create a combined company with 9%+ long-term EPS growth. But investors need tangible evidence that the process is on schedule.</w:t>
      </w:r>
    </w:p>
    <w:p>
      <w:pPr>
        <w:pStyle w:val="BodyText"/>
      </w:pPr>
      <w:r>
        <w:rPr>
          <w:b/>
          <w:bCs/>
        </w:rPr>
        <w:t xml:space="preserve">Key questions:</w:t>
      </w:r>
    </w:p>
    <w:p>
      <w:pPr>
        <w:pStyle w:val="Compact"/>
        <w:numPr>
          <w:ilvl w:val="0"/>
          <w:numId w:val="1002"/>
        </w:numPr>
      </w:pPr>
      <w:r>
        <w:t xml:space="preserve">Have state and federal filings been made, and are there any early regulatory concerns?</w:t>
      </w:r>
    </w:p>
    <w:p>
      <w:pPr>
        <w:pStyle w:val="Compact"/>
        <w:numPr>
          <w:ilvl w:val="0"/>
          <w:numId w:val="1002"/>
        </w:numPr>
      </w:pPr>
      <w:r>
        <w:t xml:space="preserve">Is the expected closing range still 12–18 months?</w:t>
      </w:r>
    </w:p>
    <w:p>
      <w:pPr>
        <w:pStyle w:val="Compact"/>
        <w:numPr>
          <w:ilvl w:val="0"/>
          <w:numId w:val="1002"/>
        </w:numPr>
      </w:pPr>
      <w:r>
        <w:t xml:space="preserve">Does management still expect no material change to its planned annual equity issuance before closing?</w:t>
      </w:r>
    </w:p>
    <w:p>
      <w:pPr>
        <w:pStyle w:val="Compact"/>
        <w:numPr>
          <w:ilvl w:val="0"/>
          <w:numId w:val="1002"/>
        </w:numPr>
      </w:pPr>
      <w:r>
        <w:t xml:space="preserve">Are there updated views on the proposed</w:t>
      </w:r>
      <w:r>
        <w:t xml:space="preserve"> </w:t>
      </w:r>
      <w:r>
        <w:rPr>
          <w:b/>
          <w:bCs/>
        </w:rPr>
        <w:t xml:space="preserve">$2.25 billion of customer bill credits</w:t>
      </w:r>
      <w:r>
        <w:t xml:space="preserve"> </w:t>
      </w:r>
      <w:r>
        <w:t xml:space="preserve">and their funding?</w:t>
      </w:r>
    </w:p>
    <w:p>
      <w:pPr>
        <w:pStyle w:val="Compact"/>
        <w:numPr>
          <w:ilvl w:val="0"/>
          <w:numId w:val="1002"/>
        </w:numPr>
      </w:pPr>
      <w:r>
        <w:t xml:space="preserve">Are rating agencies still supportive of the transaction and its intended credit-metric improvements?</w:t>
      </w:r>
    </w:p>
    <w:p>
      <w:pPr>
        <w:pStyle w:val="FirstParagraph"/>
      </w:pPr>
      <w:r>
        <w:t xml:space="preserve">The strategic case is compelling: Dominion expands NEE’s regulated footprint into Virginia, North Carolina, and South Carolina; provides direct exposure to the largest U.S. data-center market; and raises the regulated mix. The principal risk is not strategy—it is regulatory execution, financing credibility, and whether promised operating and capital efficiencies translate into customer benefits quickly enough to support approvals.</w:t>
      </w:r>
    </w:p>
    <w:bookmarkEnd w:id="11"/>
    <w:bookmarkEnd w:id="12"/>
    <w:bookmarkStart w:id="15" w:name="stand-alone-operating-scorecard"/>
    <w:p>
      <w:pPr>
        <w:pStyle w:val="Heading2"/>
      </w:pPr>
      <w:r>
        <w:t xml:space="preserve">Stand-alone operating scorecard</w:t>
      </w:r>
    </w:p>
    <w:bookmarkStart w:id="13" w:name="X89382567dc262c96e0249ee2d1f8b2d7d869a04"/>
    <w:p>
      <w:pPr>
        <w:pStyle w:val="Heading3"/>
      </w:pPr>
      <w:r>
        <w:t xml:space="preserve">3. FPL: customer growth, large-load conversion, and capital deployment</w:t>
      </w:r>
    </w:p>
    <w:p>
      <w:pPr>
        <w:pStyle w:val="FirstParagraph"/>
      </w:pPr>
      <w:r>
        <w:t xml:space="preserve">FPL remains the bedrock of NEE’s earnings durability. In 1Q26, FPL grew regulatory capital employed</w:t>
      </w:r>
      <w:r>
        <w:t xml:space="preserve"> </w:t>
      </w:r>
      <w:r>
        <w:rPr>
          <w:b/>
          <w:bCs/>
        </w:rPr>
        <w:t xml:space="preserve">8.8% year over year</w:t>
      </w:r>
      <w:r>
        <w:t xml:space="preserve">, added nearly</w:t>
      </w:r>
      <w:r>
        <w:t xml:space="preserve"> </w:t>
      </w:r>
      <w:r>
        <w:rPr>
          <w:b/>
          <w:bCs/>
        </w:rPr>
        <w:t xml:space="preserve">100,000 customers</w:t>
      </w:r>
      <w:r>
        <w:t xml:space="preserve"> </w:t>
      </w:r>
      <w:r>
        <w:t xml:space="preserve">versus the comparable period, invested approximately</w:t>
      </w:r>
      <w:r>
        <w:t xml:space="preserve"> </w:t>
      </w:r>
      <m:oMath>
        <m:r>
          <m:t>3.2</m:t>
        </m:r>
        <m:r>
          <m:t>b</m:t>
        </m:r>
        <m:r>
          <m:t>i</m:t>
        </m:r>
        <m:r>
          <m:t>l</m:t>
        </m:r>
        <m:r>
          <m:t>l</m:t>
        </m:r>
        <m:r>
          <m:t>i</m:t>
        </m:r>
        <m:r>
          <m:t>o</m:t>
        </m:r>
        <m:r>
          <m:t>n</m:t>
        </m:r>
        <m:r>
          <m:rPr>
            <m:sty m:val="p"/>
          </m:rPr>
          <m:t>*</m:t>
        </m:r>
        <m:r>
          <m:rPr>
            <m:sty m:val="p"/>
          </m:rPr>
          <m:t>*</m:t>
        </m:r>
        <m:r>
          <m:rPr>
            <m:sty m:val="p"/>
          </m:rPr>
          <m:t>,</m:t>
        </m:r>
        <m:r>
          <m:t>a</m:t>
        </m:r>
        <m:r>
          <m:t>n</m:t>
        </m:r>
        <m:r>
          <m:t>d</m:t>
        </m:r>
        <m:r>
          <m:t>r</m:t>
        </m:r>
        <m:r>
          <m:t>a</m:t>
        </m:r>
        <m:r>
          <m:t>i</m:t>
        </m:r>
        <m:r>
          <m:t>s</m:t>
        </m:r>
        <m:r>
          <m:t>e</m:t>
        </m:r>
        <m:r>
          <m:t>d</m:t>
        </m:r>
        <m:r>
          <m:t>e</m:t>
        </m:r>
        <m:r>
          <m:t>x</m:t>
        </m:r>
        <m:r>
          <m:t>p</m:t>
        </m:r>
        <m:r>
          <m:t>e</m:t>
        </m:r>
        <m:r>
          <m:t>c</m:t>
        </m:r>
        <m:r>
          <m:t>t</m:t>
        </m:r>
        <m:r>
          <m:t>e</m:t>
        </m:r>
        <m:r>
          <m:t>d</m:t>
        </m:r>
        <m:r>
          <m:t>2026</m:t>
        </m:r>
        <m:r>
          <m:t>c</m:t>
        </m:r>
        <m:r>
          <m:t>a</m:t>
        </m:r>
        <m:r>
          <m:t>p</m:t>
        </m:r>
        <m:r>
          <m:t>i</m:t>
        </m:r>
        <m:r>
          <m:t>t</m:t>
        </m:r>
        <m:r>
          <m:t>a</m:t>
        </m:r>
        <m:r>
          <m:t>l</m:t>
        </m:r>
        <m:r>
          <m:t>i</m:t>
        </m:r>
        <m:r>
          <m:t>n</m:t>
        </m:r>
        <m:r>
          <m:t>v</m:t>
        </m:r>
        <m:r>
          <m:t>e</m:t>
        </m:r>
        <m:r>
          <m:t>s</m:t>
        </m:r>
        <m:r>
          <m:t>t</m:t>
        </m:r>
        <m:r>
          <m:t>m</m:t>
        </m:r>
        <m:r>
          <m:t>e</m:t>
        </m:r>
        <m:r>
          <m:t>n</m:t>
        </m:r>
        <m:r>
          <m:t>t</m:t>
        </m:r>
        <m:r>
          <m:t>t</m:t>
        </m:r>
        <m:r>
          <m:t>o</m:t>
        </m:r>
        <m:r>
          <m:rPr>
            <m:sty m:val="p"/>
          </m:rPr>
          <m:t>*</m:t>
        </m:r>
        <m:r>
          <m:rPr>
            <m:sty m:val="p"/>
          </m:rPr>
          <m:t>*</m:t>
        </m:r>
      </m:oMath>
      <w:r>
        <w:rPr>
          <w:b/>
          <w:bCs/>
        </w:rPr>
        <w:t xml:space="preserve">12–$13 billion</w:t>
      </w:r>
      <w:r>
        <w:t xml:space="preserve">.</w:t>
      </w:r>
    </w:p>
    <w:p>
      <w:pPr>
        <w:pStyle w:val="BodyText"/>
      </w:pPr>
      <w:r>
        <w:t xml:space="preserve">The July report should answer whether that momentum persisted through the quarter.</w:t>
      </w:r>
    </w:p>
    <w:p>
      <w:pPr>
        <w:pStyle w:val="BodyText"/>
      </w:pPr>
      <w:r>
        <w:rPr>
          <w:b/>
          <w:bCs/>
        </w:rPr>
        <w:t xml:space="preserve">Items to watch</w:t>
      </w:r>
    </w:p>
    <w:p>
      <w:pPr>
        <w:pStyle w:val="Compact"/>
        <w:numPr>
          <w:ilvl w:val="0"/>
          <w:numId w:val="1003"/>
        </w:numPr>
      </w:pPr>
      <w:r>
        <w:rPr>
          <w:b/>
          <w:bCs/>
        </w:rPr>
        <w:t xml:space="preserve">Retail-sales growth and weather normalization.</w:t>
      </w:r>
      <w:r>
        <w:t xml:space="preserve"> </w:t>
      </w:r>
      <w:r>
        <w:t xml:space="preserve">First-quarter reported retail sales rose 3.4%, but weather-normalized growth was only about 0.3%. A stronger underlying demand print would improve confidence that growth is broadening beyond customer additions.</w:t>
      </w:r>
    </w:p>
    <w:p>
      <w:pPr>
        <w:pStyle w:val="Compact"/>
        <w:numPr>
          <w:ilvl w:val="0"/>
          <w:numId w:val="1003"/>
        </w:numPr>
      </w:pPr>
      <w:r>
        <w:rPr>
          <w:b/>
          <w:bCs/>
        </w:rPr>
        <w:t xml:space="preserve">Capital spending cadence.</w:t>
      </w:r>
      <w:r>
        <w:t xml:space="preserve"> </w:t>
      </w:r>
      <w:r>
        <w:t xml:space="preserve">FPL’s long-term plan calls for</w:t>
      </w:r>
      <w:r>
        <w:t xml:space="preserve"> </w:t>
      </w:r>
      <m:oMath>
        <m:r>
          <m:t>90</m:t>
        </m:r>
        <m:r>
          <m:rPr>
            <m:sty m:val="p"/>
          </m:rPr>
          <m:t>–</m:t>
        </m:r>
      </m:oMath>
      <w:r>
        <w:rPr>
          <w:b/>
          <w:bCs/>
        </w:rPr>
        <w:t xml:space="preserve">100 billion of investment through 2032</w:t>
      </w:r>
      <w:r>
        <w:t xml:space="preserve">. Investors should want evidence that spending remains productive—not simply larger.</w:t>
      </w:r>
    </w:p>
    <w:p>
      <w:pPr>
        <w:pStyle w:val="Compact"/>
        <w:numPr>
          <w:ilvl w:val="0"/>
          <w:numId w:val="1003"/>
        </w:numPr>
      </w:pPr>
      <w:r>
        <w:rPr>
          <w:b/>
          <w:bCs/>
        </w:rPr>
        <w:t xml:space="preserve">Return on equity and reserve balance.</w:t>
      </w:r>
      <w:r>
        <w:t xml:space="preserve"> </w:t>
      </w:r>
      <w:r>
        <w:t xml:space="preserve">FPL reported a regulatory ROE of roughly 11.7% for the trailing 12 months through March and had about</w:t>
      </w:r>
      <w:r>
        <w:t xml:space="preserve"> </w:t>
      </w:r>
      <w:r>
        <w:rPr>
          <w:b/>
          <w:bCs/>
        </w:rPr>
        <w:t xml:space="preserve">$1.2 billion after tax</w:t>
      </w:r>
      <w:r>
        <w:t xml:space="preserve"> </w:t>
      </w:r>
      <w:r>
        <w:t xml:space="preserve">remaining in its rate-stabilization mechanism. That reserve is valuable earnings support and flexibility, but its usage rate bears watching.</w:t>
      </w:r>
    </w:p>
    <w:p>
      <w:pPr>
        <w:pStyle w:val="Compact"/>
        <w:numPr>
          <w:ilvl w:val="0"/>
          <w:numId w:val="1003"/>
        </w:numPr>
      </w:pPr>
      <w:r>
        <w:rPr>
          <w:b/>
          <w:bCs/>
        </w:rPr>
        <w:t xml:space="preserve">Large-load progress.</w:t>
      </w:r>
      <w:r>
        <w:t xml:space="preserve"> </w:t>
      </w:r>
      <w:r>
        <w:t xml:space="preserve">FPL had approximately</w:t>
      </w:r>
      <w:r>
        <w:t xml:space="preserve"> </w:t>
      </w:r>
      <w:r>
        <w:rPr>
          <w:b/>
          <w:bCs/>
        </w:rPr>
        <w:t xml:space="preserve">21 GW of large-load interest</w:t>
      </w:r>
      <w:r>
        <w:t xml:space="preserve">, including around</w:t>
      </w:r>
      <w:r>
        <w:t xml:space="preserve"> </w:t>
      </w:r>
      <w:r>
        <w:rPr>
          <w:b/>
          <w:bCs/>
        </w:rPr>
        <w:t xml:space="preserve">12 GW in advanced discussions</w:t>
      </w:r>
      <w:r>
        <w:t xml:space="preserve">, with management targeting at least one signed customer under the tariff by year-end. A named or advanced-stage commitment would be a major positive catalyst.</w:t>
      </w:r>
    </w:p>
    <w:p>
      <w:pPr>
        <w:pStyle w:val="FirstParagraph"/>
      </w:pPr>
      <w:r>
        <w:t xml:space="preserve">The important distinction: investor enthusiasm should center on</w:t>
      </w:r>
      <w:r>
        <w:t xml:space="preserve"> </w:t>
      </w:r>
      <w:r>
        <w:rPr>
          <w:b/>
          <w:bCs/>
        </w:rPr>
        <w:t xml:space="preserve">conversion</w:t>
      </w:r>
      <w:r>
        <w:t xml:space="preserve">, not simply inquiry volume. Large-load demand could create roughly</w:t>
      </w:r>
      <w:r>
        <w:t xml:space="preserve"> </w:t>
      </w:r>
      <w:r>
        <w:rPr>
          <w:b/>
          <w:bCs/>
        </w:rPr>
        <w:t xml:space="preserve">$2 billion of FPL capital expenditure per GW</w:t>
      </w:r>
      <w:r>
        <w:t xml:space="preserve">, but only signed, financeable load commitments turn that potential into rate-base growth.</w:t>
      </w:r>
    </w:p>
    <w:bookmarkEnd w:id="13"/>
    <w:bookmarkStart w:id="14" w:name="X221b9ef706abc3b03203559228f4db15d33a739"/>
    <w:p>
      <w:pPr>
        <w:pStyle w:val="Heading3"/>
      </w:pPr>
      <w:r>
        <w:t xml:space="preserve">4. Energy Resources: backlog quality is more important than headline gigawatts</w:t>
      </w:r>
    </w:p>
    <w:p>
      <w:pPr>
        <w:pStyle w:val="FirstParagraph"/>
      </w:pPr>
      <w:r>
        <w:t xml:space="preserve">Energy Resources produced a record</w:t>
      </w:r>
      <w:r>
        <w:t xml:space="preserve"> </w:t>
      </w:r>
      <w:r>
        <w:rPr>
          <w:b/>
          <w:bCs/>
        </w:rPr>
        <w:t xml:space="preserve">4 GW</w:t>
      </w:r>
      <w:r>
        <w:t xml:space="preserve"> </w:t>
      </w:r>
      <w:r>
        <w:t xml:space="preserve">of renewables-and-storage origination in 1Q26, bringing backlog to approximately</w:t>
      </w:r>
      <w:r>
        <w:t xml:space="preserve"> </w:t>
      </w:r>
      <w:r>
        <w:rPr>
          <w:b/>
          <w:bCs/>
        </w:rPr>
        <w:t xml:space="preserve">33 GW</w:t>
      </w:r>
      <w:r>
        <w:t xml:space="preserve"> </w:t>
      </w:r>
      <w:r>
        <w:t xml:space="preserve">after projects placed in service. About 30% of the new additions were tied to hyperscalers, with the balance coming from utilities, municipalities, and cooperatives.</w:t>
      </w:r>
    </w:p>
    <w:p>
      <w:pPr>
        <w:pStyle w:val="BodyText"/>
      </w:pPr>
      <w:r>
        <w:t xml:space="preserve">For 2Q26, investors should focus on four variables:</w:t>
      </w:r>
    </w:p>
    <w:p>
      <w:pPr>
        <w:numPr>
          <w:ilvl w:val="0"/>
          <w:numId w:val="1004"/>
        </w:numPr>
      </w:pPr>
      <w:r>
        <w:rPr>
          <w:b/>
          <w:bCs/>
        </w:rPr>
        <w:t xml:space="preserve">New origination and backlog conversion.</w:t>
      </w:r>
      <w:r>
        <w:br/>
      </w:r>
      <w:r>
        <w:t xml:space="preserve">Another strong quarterly addition would reinforce NEE’s claim that it is taking share in a tightening development market. But placed-in-service volume, project returns, and customer quality matter more than gross backlog.</w:t>
      </w:r>
    </w:p>
    <w:p>
      <w:pPr>
        <w:numPr>
          <w:ilvl w:val="0"/>
          <w:numId w:val="1004"/>
        </w:numPr>
      </w:pPr>
      <w:r>
        <w:rPr>
          <w:b/>
          <w:bCs/>
        </w:rPr>
        <w:t xml:space="preserve">Storage mix.</w:t>
      </w:r>
      <w:r>
        <w:br/>
      </w:r>
      <w:r>
        <w:t xml:space="preserve">Storage is strategically central because it can be deployed faster than new gas generation and supports capacity needs. Management’s prior disclosures pointed to a battery-storage pipeline exceeding 110 GW, excluding expansion opportunities. Continued storage wins would validate that platform advantage.</w:t>
      </w:r>
    </w:p>
    <w:p>
      <w:pPr>
        <w:numPr>
          <w:ilvl w:val="0"/>
          <w:numId w:val="1004"/>
        </w:numPr>
      </w:pPr>
      <w:r>
        <w:rPr>
          <w:b/>
          <w:bCs/>
        </w:rPr>
        <w:t xml:space="preserve">Tax-credit and supply-chain protection.</w:t>
      </w:r>
      <w:r>
        <w:br/>
      </w:r>
      <w:r>
        <w:t xml:space="preserve">NEE has said it secured solar panels and domestic battery supply through 2029, wind components through 2027, and transformer capacity through the end of the decade. The critical earnings-call question is whether that protection remains sufficient amid policy, tariff, and equipment-cost changes.</w:t>
      </w:r>
    </w:p>
    <w:p>
      <w:pPr>
        <w:numPr>
          <w:ilvl w:val="0"/>
          <w:numId w:val="1004"/>
        </w:numPr>
      </w:pPr>
      <w:r>
        <w:rPr>
          <w:b/>
          <w:bCs/>
        </w:rPr>
        <w:t xml:space="preserve">Project-return discipline.</w:t>
      </w:r>
      <w:r>
        <w:br/>
      </w:r>
      <w:r>
        <w:t xml:space="preserve">NEE has cited project levered-equity-return ranges of roughly 13% to 20%+, with higher returns in new gas opportunities. Investors should look for confirmation that stronger demand is translating to pricing and returns—not merely volume.</w:t>
      </w:r>
    </w:p>
    <w:bookmarkEnd w:id="14"/>
    <w:bookmarkEnd w:id="15"/>
    <w:bookmarkStart w:id="17" w:name="X143a8ffb78c108e2bc59b67deeb104d726fa331"/>
    <w:p>
      <w:pPr>
        <w:pStyle w:val="Heading2"/>
      </w:pPr>
      <w:r>
        <w:t xml:space="preserve">The major upside catalyst: data-center hubs and gas generation</w:t>
      </w:r>
    </w:p>
    <w:p>
      <w:pPr>
        <w:pStyle w:val="FirstParagraph"/>
      </w:pPr>
      <w:r>
        <w:t xml:space="preserve">NEE’s differentiated thesis rests on being able to provide “bring your own generation” solutions to hyperscalers and large-load customers. The most consequential update would be movement from ambitious pipeline claims to signed commercial arrangements.</w:t>
      </w:r>
    </w:p>
    <w:bookmarkStart w:id="16" w:name="near-term-milestones-to-monitor"/>
    <w:p>
      <w:pPr>
        <w:pStyle w:val="Heading3"/>
      </w:pPr>
      <w:r>
        <w:t xml:space="preserve">Near-term milestones to monitor</w:t>
      </w:r>
    </w:p>
    <w:p>
      <w:pPr>
        <w:pStyle w:val="Compact"/>
        <w:numPr>
          <w:ilvl w:val="0"/>
          <w:numId w:val="1005"/>
        </w:numPr>
      </w:pPr>
      <w:r>
        <w:rPr>
          <w:b/>
          <w:bCs/>
        </w:rPr>
        <w:t xml:space="preserve">U.S.-Japan projects:</w:t>
      </w:r>
      <w:r>
        <w:t xml:space="preserve"> </w:t>
      </w:r>
      <w:r>
        <w:t xml:space="preserve">In 1Q, NEE said it was developing two projects totaling</w:t>
      </w:r>
      <w:r>
        <w:t xml:space="preserve"> </w:t>
      </w:r>
      <w:r>
        <w:rPr>
          <w:b/>
          <w:bCs/>
        </w:rPr>
        <w:t xml:space="preserve">9.5 GW</w:t>
      </w:r>
      <w:r>
        <w:t xml:space="preserve"> </w:t>
      </w:r>
      <w:r>
        <w:t xml:space="preserve">of gas-fired generation in Texas and Pennsylvania, with definitive agreements targeted within two to three months. That timing makes an update highly relevant this quarter.</w:t>
      </w:r>
    </w:p>
    <w:p>
      <w:pPr>
        <w:pStyle w:val="Compact"/>
        <w:numPr>
          <w:ilvl w:val="0"/>
          <w:numId w:val="1005"/>
        </w:numPr>
      </w:pPr>
      <w:r>
        <w:rPr>
          <w:b/>
          <w:bCs/>
        </w:rPr>
        <w:t xml:space="preserve">Data-center hubs:</w:t>
      </w:r>
      <w:r>
        <w:t xml:space="preserve"> </w:t>
      </w:r>
      <w:r>
        <w:t xml:space="preserve">Management targets</w:t>
      </w:r>
      <w:r>
        <w:t xml:space="preserve"> </w:t>
      </w:r>
      <w:r>
        <w:rPr>
          <w:b/>
          <w:bCs/>
        </w:rPr>
        <w:t xml:space="preserve">15 GW</w:t>
      </w:r>
      <w:r>
        <w:t xml:space="preserve"> </w:t>
      </w:r>
      <w:r>
        <w:t xml:space="preserve">of new generation serving data-center hubs by 2035, with upside to 30 GW. The company should be pressed for signed contracts, development milestones, and expected in-service dates—not just the number of prospective hubs.</w:t>
      </w:r>
    </w:p>
    <w:p>
      <w:pPr>
        <w:pStyle w:val="Compact"/>
        <w:numPr>
          <w:ilvl w:val="0"/>
          <w:numId w:val="1005"/>
        </w:numPr>
      </w:pPr>
      <w:r>
        <w:rPr>
          <w:b/>
          <w:bCs/>
        </w:rPr>
        <w:t xml:space="preserve">Gas turbine, EPC, labor, and fuel supply:</w:t>
      </w:r>
      <w:r>
        <w:t xml:space="preserve"> </w:t>
      </w:r>
      <w:r>
        <w:t xml:space="preserve">NEE argues its scale protects it from bottlenecks. Investors should seek evidence through contracted turbine slots, construction arrangements, tolling structures, fuel pass-throughs, and feasible permitting paths.</w:t>
      </w:r>
    </w:p>
    <w:p>
      <w:pPr>
        <w:pStyle w:val="Compact"/>
        <w:numPr>
          <w:ilvl w:val="0"/>
          <w:numId w:val="1005"/>
        </w:numPr>
      </w:pPr>
      <w:r>
        <w:rPr>
          <w:b/>
          <w:bCs/>
        </w:rPr>
        <w:t xml:space="preserve">Duane Arnold restart:</w:t>
      </w:r>
      <w:r>
        <w:t xml:space="preserve"> </w:t>
      </w:r>
      <w:r>
        <w:t xml:space="preserve">The plant remains targeted for return by</w:t>
      </w:r>
      <w:r>
        <w:t xml:space="preserve"> </w:t>
      </w:r>
      <w:r>
        <w:rPr>
          <w:b/>
          <w:bCs/>
        </w:rPr>
        <w:t xml:space="preserve">1Q29</w:t>
      </w:r>
      <w:r>
        <w:t xml:space="preserve">. Any update on interconnection rights, regulatory approvals, engineering work, or definitive customer economics would be important.</w:t>
      </w:r>
    </w:p>
    <w:p>
      <w:pPr>
        <w:pStyle w:val="Compact"/>
        <w:numPr>
          <w:ilvl w:val="0"/>
          <w:numId w:val="1005"/>
        </w:numPr>
      </w:pPr>
      <w:r>
        <w:rPr>
          <w:b/>
          <w:bCs/>
        </w:rPr>
        <w:t xml:space="preserve">Nuclear recontracting:</w:t>
      </w:r>
      <w:r>
        <w:t xml:space="preserve"> </w:t>
      </w:r>
      <w:r>
        <w:t xml:space="preserve">NEE has meaningful recontracting opportunities through 2032, including nuclear capacity. The company stated that more than 600 MW of existing projects were recontracted in 1Q at approximately</w:t>
      </w:r>
      <w:r>
        <w:t xml:space="preserve"> </w:t>
      </w:r>
      <w:r>
        <w:rPr>
          <w:b/>
          <w:bCs/>
        </w:rPr>
        <w:t xml:space="preserve">$20/MWh</w:t>
      </w:r>
      <w:r>
        <w:t xml:space="preserve"> </w:t>
      </w:r>
      <w:r>
        <w:t xml:space="preserve">above prior realized pricing. Further evidence of higher pricing would support the value of the existing fleet.</w:t>
      </w:r>
    </w:p>
    <w:bookmarkEnd w:id="16"/>
    <w:bookmarkEnd w:id="17"/>
    <w:bookmarkStart w:id="18" w:name="Xb1062302a5266ef4b534bc5c07e8d6659d29828"/>
    <w:p>
      <w:pPr>
        <w:pStyle w:val="Heading2"/>
      </w:pPr>
      <w:r>
        <w:t xml:space="preserve">Financing and balance sheet: the issue investors should not ignore</w:t>
      </w:r>
    </w:p>
    <w:p>
      <w:pPr>
        <w:pStyle w:val="FirstParagraph"/>
      </w:pPr>
      <w:r>
        <w:t xml:space="preserve">NEE’s opportunity set is capital intensive. In 1Q26, consolidated operating cash flow was</w:t>
      </w:r>
      <w:r>
        <w:t xml:space="preserve"> </w:t>
      </w:r>
      <w:r>
        <w:rPr>
          <w:b/>
          <w:bCs/>
        </w:rPr>
        <w:t xml:space="preserve">$2.6 billion</w:t>
      </w:r>
      <w:r>
        <w:t xml:space="preserve">, while investing cash flow was</w:t>
      </w:r>
      <w:r>
        <w:t xml:space="preserve"> </w:t>
      </w:r>
      <w:r>
        <w:rPr>
          <w:b/>
          <w:bCs/>
        </w:rPr>
        <w:t xml:space="preserve">negative</w:t>
      </w:r>
      <w:r>
        <w:rPr>
          <w:b/>
          <w:bCs/>
        </w:rPr>
        <w:t xml:space="preserve"> </w:t>
      </w:r>
      <m:oMath>
        <m:r>
          <m:t>10.8</m:t>
        </m:r>
        <m:r>
          <m:t>b</m:t>
        </m:r>
        <m:r>
          <m:t>i</m:t>
        </m:r>
        <m:r>
          <m:t>l</m:t>
        </m:r>
        <m:r>
          <m:t>l</m:t>
        </m:r>
        <m:r>
          <m:t>i</m:t>
        </m:r>
        <m:r>
          <m:t>o</m:t>
        </m:r>
        <m:r>
          <m:t>n</m:t>
        </m:r>
        <m:r>
          <m:rPr>
            <m:sty m:val="p"/>
          </m:rPr>
          <m:t>*</m:t>
        </m:r>
        <m:r>
          <m:rPr>
            <m:sty m:val="p"/>
          </m:rPr>
          <m:t>*</m:t>
        </m:r>
        <m:r>
          <m:rPr>
            <m:sty m:val="p"/>
          </m:rPr>
          <m:t>,</m:t>
        </m:r>
        <m:r>
          <m:t>i</m:t>
        </m:r>
        <m:r>
          <m:t>n</m:t>
        </m:r>
        <m:r>
          <m:t>c</m:t>
        </m:r>
        <m:r>
          <m:t>l</m:t>
        </m:r>
        <m:r>
          <m:t>u</m:t>
        </m:r>
        <m:r>
          <m:t>d</m:t>
        </m:r>
        <m:r>
          <m:t>i</m:t>
        </m:r>
        <m:r>
          <m:t>n</m:t>
        </m:r>
        <m:r>
          <m:t>g</m:t>
        </m:r>
        <m:r>
          <m:t>n</m:t>
        </m:r>
        <m:r>
          <m:t>e</m:t>
        </m:r>
        <m:r>
          <m:t>a</m:t>
        </m:r>
        <m:r>
          <m:t>r</m:t>
        </m:r>
        <m:r>
          <m:t>l</m:t>
        </m:r>
        <m:r>
          <m:t>y</m:t>
        </m:r>
        <m:r>
          <m:rPr>
            <m:sty m:val="p"/>
          </m:rPr>
          <m:t>*</m:t>
        </m:r>
        <m:r>
          <m:rPr>
            <m:sty m:val="p"/>
          </m:rPr>
          <m:t>*</m:t>
        </m:r>
      </m:oMath>
      <w:r>
        <w:rPr>
          <w:b/>
          <w:bCs/>
        </w:rPr>
        <w:t xml:space="preserve">7.9 billion</w:t>
      </w:r>
      <w:r>
        <w:t xml:space="preserve"> </w:t>
      </w:r>
      <w:r>
        <w:t xml:space="preserve">of Energy Resources investments. Consolidated long-term debt rose to approximately</w:t>
      </w:r>
      <w:r>
        <w:t xml:space="preserve"> </w:t>
      </w:r>
      <m:oMath>
        <m:r>
          <m:t>93.9</m:t>
        </m:r>
        <m:r>
          <m:t>b</m:t>
        </m:r>
        <m:r>
          <m:t>i</m:t>
        </m:r>
        <m:r>
          <m:t>l</m:t>
        </m:r>
        <m:r>
          <m:t>l</m:t>
        </m:r>
        <m:r>
          <m:t>i</m:t>
        </m:r>
        <m:r>
          <m:t>o</m:t>
        </m:r>
        <m:r>
          <m:t>n</m:t>
        </m:r>
        <m:r>
          <m:rPr>
            <m:sty m:val="p"/>
          </m:rPr>
          <m:t>*</m:t>
        </m:r>
        <m:r>
          <m:rPr>
            <m:sty m:val="p"/>
          </m:rPr>
          <m:t>*</m:t>
        </m:r>
        <m:r>
          <m:t>a</m:t>
        </m:r>
        <m:r>
          <m:t>t</m:t>
        </m:r>
        <m:r>
          <m:t>M</m:t>
        </m:r>
        <m:r>
          <m:t>a</m:t>
        </m:r>
        <m:r>
          <m:t>r</m:t>
        </m:r>
        <m:r>
          <m:t>c</m:t>
        </m:r>
        <m:r>
          <m:t>h</m:t>
        </m:r>
        <m:r>
          <m:t>31</m:t>
        </m:r>
        <m:r>
          <m:t>f</m:t>
        </m:r>
        <m:r>
          <m:t>r</m:t>
        </m:r>
        <m:r>
          <m:t>o</m:t>
        </m:r>
        <m:r>
          <m:t>m</m:t>
        </m:r>
        <m:r>
          <m:t>r</m:t>
        </m:r>
        <m:r>
          <m:t>o</m:t>
        </m:r>
        <m:r>
          <m:t>u</m:t>
        </m:r>
        <m:r>
          <m:t>g</m:t>
        </m:r>
        <m:r>
          <m:t>h</m:t>
        </m:r>
        <m:r>
          <m:t>l</m:t>
        </m:r>
        <m:r>
          <m:t>y</m:t>
        </m:r>
        <m:r>
          <m:rPr>
            <m:sty m:val="p"/>
          </m:rPr>
          <m:t>*</m:t>
        </m:r>
        <m:r>
          <m:rPr>
            <m:sty m:val="p"/>
          </m:rPr>
          <m:t>*</m:t>
        </m:r>
      </m:oMath>
      <w:r>
        <w:rPr>
          <w:b/>
          <w:bCs/>
        </w:rPr>
        <w:t xml:space="preserve">89.6 billion</w:t>
      </w:r>
      <w:r>
        <w:t xml:space="preserve"> </w:t>
      </w:r>
      <w:r>
        <w:t xml:space="preserve">at year-end 2025.</w:t>
      </w:r>
    </w:p>
    <w:p>
      <w:pPr>
        <w:pStyle w:val="BodyText"/>
      </w:pPr>
      <w:r>
        <w:t xml:space="preserve">This does not invalidate the growth plan—utilities and contracted developers are inherently capital intensive—but it raises the importance of funding discipline.</w:t>
      </w:r>
    </w:p>
    <w:p>
      <w:pPr>
        <w:pStyle w:val="BodyText"/>
      </w:pPr>
      <w:r>
        <w:rPr>
          <w:b/>
          <w:bCs/>
        </w:rPr>
        <w:t xml:space="preserve">Watch for:</w:t>
      </w:r>
    </w:p>
    <w:p>
      <w:pPr>
        <w:pStyle w:val="Compact"/>
        <w:numPr>
          <w:ilvl w:val="0"/>
          <w:numId w:val="1006"/>
        </w:numPr>
      </w:pPr>
      <w:r>
        <w:t xml:space="preserve">Updated annual equity-issuance expectations;</w:t>
      </w:r>
    </w:p>
    <w:p>
      <w:pPr>
        <w:pStyle w:val="Compact"/>
        <w:numPr>
          <w:ilvl w:val="0"/>
          <w:numId w:val="1006"/>
        </w:numPr>
      </w:pPr>
      <w:r>
        <w:t xml:space="preserve">The split among corporate debt, project debt, tax equity, and asset recycling;</w:t>
      </w:r>
    </w:p>
    <w:p>
      <w:pPr>
        <w:pStyle w:val="Compact"/>
        <w:numPr>
          <w:ilvl w:val="0"/>
          <w:numId w:val="1006"/>
        </w:numPr>
      </w:pPr>
      <w:r>
        <w:t xml:space="preserve">Interest-expense pressure and the effectiveness of NEE’s more than</w:t>
      </w:r>
      <w:r>
        <w:t xml:space="preserve"> </w:t>
      </w:r>
      <w:r>
        <w:rPr>
          <w:b/>
          <w:bCs/>
        </w:rPr>
        <w:t xml:space="preserve">$43 billion</w:t>
      </w:r>
      <w:r>
        <w:t xml:space="preserve"> </w:t>
      </w:r>
      <w:r>
        <w:t xml:space="preserve">interest-rate hedging program;</w:t>
      </w:r>
    </w:p>
    <w:p>
      <w:pPr>
        <w:pStyle w:val="Compact"/>
        <w:numPr>
          <w:ilvl w:val="0"/>
          <w:numId w:val="1006"/>
        </w:numPr>
      </w:pPr>
      <w:r>
        <w:t xml:space="preserve">Credit-rating commentary and FFO/debt commitments;</w:t>
      </w:r>
    </w:p>
    <w:p>
      <w:pPr>
        <w:pStyle w:val="Compact"/>
        <w:numPr>
          <w:ilvl w:val="0"/>
          <w:numId w:val="1006"/>
        </w:numPr>
      </w:pPr>
      <w:r>
        <w:t xml:space="preserve">Whether Dominion-related capital needs alter the stand-alone funding plan.</w:t>
      </w:r>
    </w:p>
    <w:p>
      <w:pPr>
        <w:pStyle w:val="FirstParagraph"/>
      </w:pPr>
      <w:r>
        <w:t xml:space="preserve">The favorable outcome is that management reiterates the 2026 high-end EPS target, preserves rating commitments, and demonstrates that project-level financing and retained cash flow remain sufficient to support the build plan without a material increase in dilution.</w:t>
      </w:r>
    </w:p>
    <w:bookmarkEnd w:id="18"/>
    <w:bookmarkStart w:id="21" w:name="potential-market-reactions"/>
    <w:p>
      <w:pPr>
        <w:pStyle w:val="Heading2"/>
      </w:pPr>
      <w:r>
        <w:t xml:space="preserve">Potential market reactions</w:t>
      </w:r>
    </w:p>
    <w:bookmarkStart w:id="19" w:name="bull-case"/>
    <w:p>
      <w:pPr>
        <w:pStyle w:val="Heading3"/>
      </w:pPr>
      <w:r>
        <w:t xml:space="preserve">Bull case</w:t>
      </w:r>
    </w:p>
    <w:p>
      <w:pPr>
        <w:pStyle w:val="FirstParagraph"/>
      </w:pPr>
      <w:r>
        <w:t xml:space="preserve">A constructive report would include:</w:t>
      </w:r>
    </w:p>
    <w:p>
      <w:pPr>
        <w:pStyle w:val="Compact"/>
        <w:numPr>
          <w:ilvl w:val="0"/>
          <w:numId w:val="1007"/>
        </w:numPr>
      </w:pPr>
      <w:r>
        <w:t xml:space="preserve">Reaffirmed 2026 guidance with continued high-end targeting;</w:t>
      </w:r>
    </w:p>
    <w:p>
      <w:pPr>
        <w:pStyle w:val="Compact"/>
        <w:numPr>
          <w:ilvl w:val="0"/>
          <w:numId w:val="1007"/>
        </w:numPr>
      </w:pPr>
      <w:r>
        <w:t xml:space="preserve">Strong FPL customer and sales trends;</w:t>
      </w:r>
    </w:p>
    <w:p>
      <w:pPr>
        <w:pStyle w:val="Compact"/>
        <w:numPr>
          <w:ilvl w:val="0"/>
          <w:numId w:val="1007"/>
        </w:numPr>
      </w:pPr>
      <w:r>
        <w:t xml:space="preserve">Another large Energy Resources backlog addition with favorable storage and hyperscaler mix;</w:t>
      </w:r>
    </w:p>
    <w:p>
      <w:pPr>
        <w:pStyle w:val="Compact"/>
        <w:numPr>
          <w:ilvl w:val="0"/>
          <w:numId w:val="1007"/>
        </w:numPr>
      </w:pPr>
      <w:r>
        <w:t xml:space="preserve">Definitive-agreement progress on the 9.5-GW Texas/Pennsylvania projects or another major hub;</w:t>
      </w:r>
    </w:p>
    <w:p>
      <w:pPr>
        <w:pStyle w:val="Compact"/>
        <w:numPr>
          <w:ilvl w:val="0"/>
          <w:numId w:val="1007"/>
        </w:numPr>
      </w:pPr>
      <w:r>
        <w:t xml:space="preserve">A signed FPL large-load customer or clear evidence of imminent conversion;</w:t>
      </w:r>
    </w:p>
    <w:p>
      <w:pPr>
        <w:pStyle w:val="Compact"/>
        <w:numPr>
          <w:ilvl w:val="0"/>
          <w:numId w:val="1007"/>
        </w:numPr>
      </w:pPr>
      <w:r>
        <w:t xml:space="preserve">A clean Dominion approval timeline and stable financing assumptions.</w:t>
      </w:r>
    </w:p>
    <w:p>
      <w:pPr>
        <w:pStyle w:val="FirstParagraph"/>
      </w:pPr>
      <w:r>
        <w:t xml:space="preserve">In this scenario, the market is likely to focus on NEE’s ability to convert its data-center opportunity into visible, contracted capital deployment while retaining regulated earnings stability.</w:t>
      </w:r>
    </w:p>
    <w:bookmarkEnd w:id="19"/>
    <w:bookmarkStart w:id="20" w:name="bear-case"/>
    <w:p>
      <w:pPr>
        <w:pStyle w:val="Heading3"/>
      </w:pPr>
      <w:r>
        <w:t xml:space="preserve">Bear case</w:t>
      </w:r>
    </w:p>
    <w:p>
      <w:pPr>
        <w:pStyle w:val="FirstParagraph"/>
      </w:pPr>
      <w:r>
        <w:t xml:space="preserve">The risk case is less likely to be an outright quarterly EPS miss and more likely to be a deterioration in confidence around the outer years:</w:t>
      </w:r>
    </w:p>
    <w:p>
      <w:pPr>
        <w:pStyle w:val="Compact"/>
        <w:numPr>
          <w:ilvl w:val="0"/>
          <w:numId w:val="1008"/>
        </w:numPr>
      </w:pPr>
      <w:r>
        <w:t xml:space="preserve">No tangible large-load or data-center-hub conversion;</w:t>
      </w:r>
    </w:p>
    <w:p>
      <w:pPr>
        <w:pStyle w:val="Compact"/>
        <w:numPr>
          <w:ilvl w:val="0"/>
          <w:numId w:val="1008"/>
        </w:numPr>
      </w:pPr>
      <w:r>
        <w:t xml:space="preserve">Lower-quality backlog additions or delays in placing projects into service;</w:t>
      </w:r>
    </w:p>
    <w:p>
      <w:pPr>
        <w:pStyle w:val="Compact"/>
        <w:numPr>
          <w:ilvl w:val="0"/>
          <w:numId w:val="1008"/>
        </w:numPr>
      </w:pPr>
      <w:r>
        <w:t xml:space="preserve">Higher financing costs, greater equity needs, or weaker credit-metric commentary;</w:t>
      </w:r>
    </w:p>
    <w:p>
      <w:pPr>
        <w:pStyle w:val="Compact"/>
        <w:numPr>
          <w:ilvl w:val="0"/>
          <w:numId w:val="1008"/>
        </w:numPr>
      </w:pPr>
      <w:r>
        <w:t xml:space="preserve">Regulatory friction or a longer path to Dominion closing;</w:t>
      </w:r>
    </w:p>
    <w:p>
      <w:pPr>
        <w:pStyle w:val="Compact"/>
        <w:numPr>
          <w:ilvl w:val="0"/>
          <w:numId w:val="1008"/>
        </w:numPr>
      </w:pPr>
      <w:r>
        <w:t xml:space="preserve">Evidence that demand is robust but equipment, labor, transmission, permitting, or interconnection constraints prevent monetization.</w:t>
      </w:r>
    </w:p>
    <w:bookmarkEnd w:id="20"/>
    <w:bookmarkEnd w:id="21"/>
    <w:bookmarkStart w:id="23" w:name="bottom-line"/>
    <w:p>
      <w:pPr>
        <w:pStyle w:val="Heading2"/>
      </w:pPr>
      <w:r>
        <w:t xml:space="preserve">Bottom line</w:t>
      </w:r>
    </w:p>
    <w:p>
      <w:pPr>
        <w:pStyle w:val="FirstParagraph"/>
      </w:pPr>
      <w:r>
        <w:rPr>
          <w:b/>
          <w:bCs/>
        </w:rPr>
        <w:t xml:space="preserve">NEE’s 2Q26 report is a proof-of-execution event.</w:t>
      </w:r>
      <w:r>
        <w:t xml:space="preserve"> </w:t>
      </w:r>
      <w:r>
        <w:t xml:space="preserve">The company already has a credible long-term narrative: Florida growth, contracted renewables and storage, expanding transmission and gas infrastructure, nuclear recontracting, and a differentiated position in supplying power to large loads. The Dominion deal could amplify that opportunity materially.</w:t>
      </w:r>
    </w:p>
    <w:p>
      <w:pPr>
        <w:pStyle w:val="BodyText"/>
      </w:pPr>
      <w:r>
        <w:t xml:space="preserve">For the stock, however, investors need the story to become more concrete. The highest-value disclosures would be:</w:t>
      </w:r>
    </w:p>
    <w:p>
      <w:pPr>
        <w:pStyle w:val="Compact"/>
        <w:numPr>
          <w:ilvl w:val="0"/>
          <w:numId w:val="1009"/>
        </w:numPr>
      </w:pPr>
      <w:r>
        <w:rPr>
          <w:b/>
          <w:bCs/>
        </w:rPr>
        <w:t xml:space="preserve">High-end 2026 guidance reaffirmation;</w:t>
      </w:r>
    </w:p>
    <w:p>
      <w:pPr>
        <w:pStyle w:val="Compact"/>
        <w:numPr>
          <w:ilvl w:val="0"/>
          <w:numId w:val="1009"/>
        </w:numPr>
      </w:pPr>
      <w:r>
        <w:rPr>
          <w:b/>
          <w:bCs/>
        </w:rPr>
        <w:t xml:space="preserve">Signed or near-signed large-load contracts at FPL and Energy Resources;</w:t>
      </w:r>
    </w:p>
    <w:p>
      <w:pPr>
        <w:pStyle w:val="Compact"/>
        <w:numPr>
          <w:ilvl w:val="0"/>
          <w:numId w:val="1009"/>
        </w:numPr>
      </w:pPr>
      <w:r>
        <w:rPr>
          <w:b/>
          <w:bCs/>
        </w:rPr>
        <w:t xml:space="preserve">Definitive progress on the 9.5-GW federal gas projects and broader data-center hubs;</w:t>
      </w:r>
    </w:p>
    <w:p>
      <w:pPr>
        <w:pStyle w:val="Compact"/>
        <w:numPr>
          <w:ilvl w:val="0"/>
          <w:numId w:val="1009"/>
        </w:numPr>
      </w:pPr>
      <w:r>
        <w:rPr>
          <w:b/>
          <w:bCs/>
        </w:rPr>
        <w:t xml:space="preserve">Evidence of backlog conversion and attractive project returns;</w:t>
      </w:r>
    </w:p>
    <w:p>
      <w:pPr>
        <w:pStyle w:val="Compact"/>
        <w:numPr>
          <w:ilvl w:val="0"/>
          <w:numId w:val="1009"/>
        </w:numPr>
      </w:pPr>
      <w:r>
        <w:rPr>
          <w:b/>
          <w:bCs/>
        </w:rPr>
        <w:t xml:space="preserve">A disciplined, credible funding plan alongside a clean Dominion approval path.</w:t>
      </w:r>
    </w:p>
    <w:p>
      <w:r>
        <w:pict>
          <v:rect style="width:0;height:1.5pt" o:hralign="center" o:hrstd="t" o:hr="t"/>
        </w:pict>
      </w:r>
    </w:p>
    <w:bookmarkStart w:id="22" w:name="source-materials-reviewed"/>
    <w:p>
      <w:pPr>
        <w:pStyle w:val="Heading3"/>
      </w:pPr>
      <w:r>
        <w:t xml:space="preserve">Source materials reviewed</w:t>
      </w:r>
    </w:p>
    <w:p>
      <w:pPr>
        <w:pStyle w:val="Compact"/>
        <w:numPr>
          <w:ilvl w:val="0"/>
          <w:numId w:val="1010"/>
        </w:numPr>
      </w:pPr>
      <w:r>
        <w:t xml:space="preserve">NEE 1Q26 earnings release and earnings-call transcript</w:t>
      </w:r>
    </w:p>
    <w:p>
      <w:pPr>
        <w:pStyle w:val="Compact"/>
        <w:numPr>
          <w:ilvl w:val="0"/>
          <w:numId w:val="1010"/>
        </w:numPr>
      </w:pPr>
      <w:r>
        <w:t xml:space="preserve">NEE 2025 Investor Day transcript</w:t>
      </w:r>
    </w:p>
    <w:p>
      <w:pPr>
        <w:pStyle w:val="Compact"/>
        <w:numPr>
          <w:ilvl w:val="0"/>
          <w:numId w:val="1010"/>
        </w:numPr>
      </w:pPr>
      <w:r>
        <w:t xml:space="preserve">NEE/Dominion merger announcement call transcript, May 18, 2026</w:t>
      </w:r>
    </w:p>
    <w:p>
      <w:pPr>
        <w:pStyle w:val="Compact"/>
        <w:numPr>
          <w:ilvl w:val="0"/>
          <w:numId w:val="1010"/>
        </w:numPr>
      </w:pPr>
      <w:r>
        <w:t xml:space="preserve">NEE 2Q25 earnings release and earnings-call transcript</w:t>
      </w:r>
    </w:p>
    <w:p>
      <w:pPr>
        <w:pStyle w:val="Compact"/>
        <w:numPr>
          <w:ilvl w:val="0"/>
          <w:numId w:val="1010"/>
        </w:numPr>
      </w:pPr>
      <w:r>
        <w:t xml:space="preserve">Historical NEE, Duke Energy, and Southern Company share-price data through July 23, 2026</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2026-07-24T00:08:58Z</dcterms:created>
  <dcterms:modified xsi:type="dcterms:W3CDTF">2026-07-24T00:08:58Z</dcterms:modified>
</cp:coreProperties>
</file>

<file path=docProps/custom.xml><?xml version="1.0" encoding="utf-8"?>
<Properties xmlns="http://schemas.openxmlformats.org/officeDocument/2006/custom-properties" xmlns:vt="http://schemas.openxmlformats.org/officeDocument/2006/docPropsVTypes"/>
</file>