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NextEra Energy (NEE) — Q2 2026 Earnings Preview</w:t>
      </w:r>
    </w:p>
    <w:p>
      <w:r>
        <w:rPr>
          <w:rFonts w:ascii="Calibri" w:hAnsi="Calibri"/>
          <w:b/>
          <w:color w:val="525866"/>
          <w:sz w:val="22"/>
        </w:rPr>
        <w:t xml:space="preserve">Ticker: </w:t>
      </w:r>
      <w:r>
        <w:rPr>
          <w:rFonts w:ascii="Calibri" w:hAnsi="Calibri"/>
          <w:color w:val="525866"/>
          <w:sz w:val="22"/>
        </w:rPr>
        <w:t xml:space="preserve">NEE  </w:t>
      </w:r>
      <w:r>
        <w:rPr>
          <w:rFonts w:ascii="Calibri" w:hAnsi="Calibri"/>
          <w:b/>
          <w:color w:val="525866"/>
          <w:sz w:val="22"/>
        </w:rPr>
        <w:t xml:space="preserve">  |  Earnings Date: </w:t>
      </w:r>
      <w:r>
        <w:rPr>
          <w:rFonts w:ascii="Calibri" w:hAnsi="Calibri"/>
          <w:color w:val="525866"/>
          <w:sz w:val="22"/>
        </w:rPr>
        <w:t xml:space="preserve">July 24, 2026  </w:t>
      </w:r>
      <w:r>
        <w:rPr>
          <w:rFonts w:ascii="Calibri" w:hAnsi="Calibri"/>
          <w:b/>
          <w:color w:val="525866"/>
          <w:sz w:val="22"/>
        </w:rPr>
        <w:t xml:space="preserve">  |  Prepared: </w:t>
      </w:r>
      <w:r>
        <w:rPr>
          <w:rFonts w:ascii="Calibri" w:hAnsi="Calibri"/>
          <w:color w:val="525866"/>
          <w:sz w:val="22"/>
        </w:rPr>
        <w:t xml:space="preserve">July 23, 2026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but not a slam-dunk beat — consensus EPS of </w:t>
      </w:r>
      <w:r>
        <w:rPr>
          <w:rFonts w:ascii="Calibri" w:hAnsi="Calibri"/>
          <w:b/>
          <w:color w:val="525866"/>
          <w:sz w:val="22"/>
        </w:rPr>
        <w:t>$1.109</w:t>
      </w:r>
      <w:r>
        <w:rPr>
          <w:rFonts w:ascii="Calibri" w:hAnsi="Calibri"/>
          <w:color w:val="525866"/>
          <w:sz w:val="22"/>
        </w:rPr>
        <w:t xml:space="preserve"> sits just above the Q1 2026 actual of $1.09, and the single biggest swing factor is how the market digests the </w:t>
      </w:r>
      <w:r>
        <w:rPr>
          <w:rFonts w:ascii="Calibri" w:hAnsi="Calibri"/>
          <w:b/>
          <w:color w:val="525866"/>
          <w:sz w:val="22"/>
        </w:rPr>
        <w:t>Dominion Energy merger announcement</w:t>
      </w:r>
      <w:r>
        <w:rPr>
          <w:rFonts w:ascii="Calibri" w:hAnsi="Calibri"/>
          <w:color w:val="525866"/>
          <w:sz w:val="22"/>
        </w:rPr>
        <w:t xml:space="preserve"> alongside the underlying operational print.</w:t>
      </w:r>
    </w:p>
    <w:p>
      <w:r>
        <w:rPr>
          <w:rFonts w:ascii="Calibri" w:hAnsi="Calibri"/>
          <w:color w:val="525866"/>
          <w:sz w:val="22"/>
        </w:rPr>
        <w:t xml:space="preserve">Heading into Q2 2026, the bar for NEE is modestly elevated: consensus adjusted EPS of ~$1.109 implies ~5.8% year-over-year growth versus the $1.050 reported in Q2 2025, and management explicitly targeted the </w:t>
      </w:r>
      <w:r>
        <w:rPr>
          <w:rFonts w:ascii="Calibri" w:hAnsi="Calibri"/>
          <w:b/>
          <w:color w:val="525866"/>
          <w:sz w:val="22"/>
        </w:rPr>
        <w:t>high end of the $3.92–$4.02 full-year 2026 range</w:t>
      </w:r>
      <w:r>
        <w:rPr>
          <w:rFonts w:ascii="Calibri" w:hAnsi="Calibri"/>
          <w:color w:val="525866"/>
          <w:sz w:val="22"/>
        </w:rPr>
        <w:t xml:space="preserve"> on the Q1 call — a posture that has not wavered. Estimate revisions have been broadly stable since the Q1 print (full-year 2026 consensus of ~$4.035 is essentially flat versus the $4.031 baseline set five days post-Q1 earnings), suggesting the Street is neither chasing the guidance higher nor fading it, which leaves the bar achievable but not sandbagged. The stock has given back roughly </w:t>
      </w:r>
      <w:r>
        <w:rPr>
          <w:rFonts w:ascii="Calibri" w:hAnsi="Calibri"/>
          <w:b/>
          <w:color w:val="525866"/>
          <w:sz w:val="22"/>
        </w:rPr>
        <w:t>7% since the Q1 earnings surge</w:t>
      </w:r>
      <w:r>
        <w:rPr>
          <w:rFonts w:ascii="Calibri" w:hAnsi="Calibri"/>
          <w:color w:val="525866"/>
          <w:sz w:val="22"/>
        </w:rPr>
        <w:t xml:space="preserve"> (from $96.25 on April 23 to ~$89.41 as of July 22), underperforming XLU over the same window, with the May 18 Dominion merger announcement acting as the primary overhang — dilution concerns and regulatory complexity weighed on the multiple even as the strategic rationale was broadly acknowledged. The wildcard for this print is </w:t>
      </w:r>
      <w:r>
        <w:rPr>
          <w:rFonts w:ascii="Calibri" w:hAnsi="Calibri"/>
          <w:b/>
          <w:color w:val="525866"/>
          <w:sz w:val="22"/>
        </w:rPr>
        <w:t>FPL large load tariff conversion</w:t>
      </w:r>
      <w:r>
        <w:rPr>
          <w:rFonts w:ascii="Calibri" w:hAnsi="Calibri"/>
          <w:color w:val="525866"/>
          <w:sz w:val="22"/>
        </w:rPr>
        <w:t>: management guided for at least one large load customer to sign under FPL's tariff by year-end, and any Q2 update — positive or negative — on that milestone, combined with any progress on the US-Japan DOC 9.5 GW definitive agreements (expected within 2–3 months of the April call), could move the stock more than the EPS number itself.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adjusted EPS of </w:t>
      </w:r>
      <w:r>
        <w:rPr>
          <w:rFonts w:ascii="Calibri" w:hAnsi="Calibri"/>
          <w:b/>
          <w:color w:val="525866"/>
          <w:sz w:val="22"/>
        </w:rPr>
        <w:t>$1.109</w:t>
      </w:r>
      <w:r>
        <w:rPr>
          <w:rFonts w:ascii="Calibri" w:hAnsi="Calibri"/>
          <w:color w:val="525866"/>
          <w:sz w:val="22"/>
        </w:rPr>
        <w:t xml:space="preserve"> for Q2 2026 is a modest but achievable bar given management’s high-end targeting posture; </w:t>
      </w:r>
      <w:r>
        <w:rPr>
          <w:rFonts w:ascii="Calibri" w:hAnsi="Calibri"/>
          <w:b/>
          <w:color w:val="525866"/>
          <w:sz w:val="22"/>
        </w:rPr>
        <w:t>FPL EPS contribution</w:t>
      </w:r>
      <w:r>
        <w:rPr>
          <w:rFonts w:ascii="Calibri" w:hAnsi="Calibri"/>
          <w:color w:val="525866"/>
          <w:sz w:val="22"/>
        </w:rPr>
        <w:t xml:space="preserve"> is the bigger swing factor given the large load tariff conversion timeline, while NEER EPS consensus of $0.565 implies meaningful sequential acceleration that depends on new project contributions.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 EPS (Diluted Operating)</w:t>
            </w:r>
          </w:p>
        </w:tc>
        <w:tc>
          <w:tcPr>
            <w:tcW w:type="dxa" w:w="1234"/>
          </w:tcPr>
          <w:p>
            <w:r>
              <w:rPr>
                <w:rFonts w:ascii="Calibri" w:hAnsi="Calibri"/>
                <w:sz w:val="22"/>
              </w:rPr>
              <w:t>$1.09</w:t>
            </w:r>
          </w:p>
        </w:tc>
        <w:tc>
          <w:tcPr>
            <w:tcW w:type="dxa" w:w="1234"/>
          </w:tcPr>
          <w:p>
            <w:r>
              <w:rPr>
                <w:rFonts w:ascii="Calibri" w:hAnsi="Calibri"/>
                <w:sz w:val="22"/>
              </w:rPr>
              <w:t>$1.050</w:t>
            </w:r>
          </w:p>
        </w:tc>
        <w:tc>
          <w:tcPr>
            <w:tcW w:type="dxa" w:w="1234"/>
          </w:tcPr>
          <w:p>
            <w:r>
              <w:rPr>
                <w:rFonts w:ascii="Calibri" w:hAnsi="Calibri"/>
                <w:sz w:val="22"/>
              </w:rPr>
              <w:t>$1.109</w:t>
            </w:r>
          </w:p>
        </w:tc>
        <w:tc>
          <w:tcPr>
            <w:tcW w:type="dxa" w:w="1234"/>
          </w:tcPr>
          <w:p>
            <w:r>
              <w:rPr>
                <w:rFonts w:ascii="Calibri" w:hAnsi="Calibri"/>
                <w:sz w:val="22"/>
              </w:rPr>
              <w:t>+5.6%</w:t>
            </w:r>
          </w:p>
        </w:tc>
        <w:tc>
          <w:tcPr>
            <w:tcW w:type="dxa" w:w="1234"/>
          </w:tcPr>
          <w:p>
            <w:r>
              <w:rPr>
                <w:rFonts w:ascii="Calibri" w:hAnsi="Calibri"/>
                <w:sz w:val="22"/>
              </w:rPr>
              <w:t>$3.92–$4.02 (mgmt targets high end)</w:t>
            </w:r>
          </w:p>
        </w:tc>
        <w:tc>
          <w:tcPr>
            <w:tcW w:type="dxa" w:w="1234"/>
          </w:tcPr>
          <w:p>
            <w:r>
              <w:rPr>
                <w:rFonts w:ascii="Calibri" w:hAnsi="Calibri"/>
                <w:sz w:val="22"/>
              </w:rPr>
              <w:t>~+0.9% vs. midpoint ($3.97)</w:t>
            </w:r>
          </w:p>
        </w:tc>
      </w:tr>
      <w:tr>
        <w:tc>
          <w:tcPr>
            <w:tcW w:type="dxa" w:w="1234"/>
          </w:tcPr>
          <w:p>
            <w:r>
              <w:rPr>
                <w:rFonts w:ascii="Calibri" w:hAnsi="Calibri"/>
                <w:sz w:val="22"/>
              </w:rPr>
              <w:t>FPL EPS (Diluted)</w:t>
            </w:r>
          </w:p>
        </w:tc>
        <w:tc>
          <w:tcPr>
            <w:tcW w:type="dxa" w:w="1234"/>
          </w:tcPr>
          <w:p>
            <w:r>
              <w:rPr>
                <w:rFonts w:ascii="Calibri" w:hAnsi="Calibri"/>
                <w:sz w:val="22"/>
              </w:rPr>
              <w:t>$0.70</w:t>
            </w:r>
          </w:p>
        </w:tc>
        <w:tc>
          <w:tcPr>
            <w:tcW w:type="dxa" w:w="1234"/>
          </w:tcPr>
          <w:p>
            <w:r>
              <w:rPr>
                <w:rFonts w:ascii="Calibri" w:hAnsi="Calibri"/>
                <w:sz w:val="22"/>
              </w:rPr>
              <w:t>$0.620</w:t>
            </w:r>
          </w:p>
        </w:tc>
        <w:tc>
          <w:tcPr>
            <w:tcW w:type="dxa" w:w="1234"/>
          </w:tcPr>
          <w:p>
            <w:r>
              <w:rPr>
                <w:rFonts w:ascii="Calibri" w:hAnsi="Calibri"/>
                <w:sz w:val="22"/>
              </w:rPr>
              <w:t>$0.678</w:t>
            </w:r>
          </w:p>
        </w:tc>
        <w:tc>
          <w:tcPr>
            <w:tcW w:type="dxa" w:w="1234"/>
          </w:tcPr>
          <w:p>
            <w:r>
              <w:rPr>
                <w:rFonts w:ascii="Calibri" w:hAnsi="Calibri"/>
                <w:sz w:val="22"/>
              </w:rPr>
              <w:t>+9.4%</w:t>
            </w:r>
          </w:p>
        </w:tc>
        <w:tc>
          <w:tcPr>
            <w:tcW w:type="dxa" w:w="1234"/>
          </w:tcPr>
          <w:p>
            <w:r>
              <w:rPr>
                <w:rFonts w:ascii="Calibri" w:hAnsi="Calibri"/>
                <w:sz w:val="22"/>
              </w:rPr>
              <w:t>N/A — segment not separately guided</w:t>
            </w:r>
          </w:p>
        </w:tc>
        <w:tc>
          <w:tcPr>
            <w:tcW w:type="dxa" w:w="1234"/>
          </w:tcPr>
          <w:p>
            <w:r>
              <w:rPr>
                <w:rFonts w:ascii="Calibri" w:hAnsi="Calibri"/>
                <w:sz w:val="22"/>
              </w:rPr>
              <w:t>N/A</w:t>
            </w:r>
          </w:p>
        </w:tc>
      </w:tr>
      <w:tr>
        <w:tc>
          <w:tcPr>
            <w:tcW w:type="dxa" w:w="1234"/>
          </w:tcPr>
          <w:p>
            <w:r>
              <w:rPr>
                <w:rFonts w:ascii="Calibri" w:hAnsi="Calibri"/>
                <w:sz w:val="22"/>
              </w:rPr>
              <w:t>NEER Adj. EPS (Diluted Operating)</w:t>
            </w:r>
          </w:p>
        </w:tc>
        <w:tc>
          <w:tcPr>
            <w:tcW w:type="dxa" w:w="1234"/>
          </w:tcPr>
          <w:p>
            <w:r>
              <w:rPr>
                <w:rFonts w:ascii="Calibri" w:hAnsi="Calibri"/>
                <w:sz w:val="22"/>
              </w:rPr>
              <w:t>$0.50</w:t>
            </w:r>
          </w:p>
        </w:tc>
        <w:tc>
          <w:tcPr>
            <w:tcW w:type="dxa" w:w="1234"/>
          </w:tcPr>
          <w:p>
            <w:r>
              <w:rPr>
                <w:rFonts w:ascii="Calibri" w:hAnsi="Calibri"/>
                <w:sz w:val="22"/>
              </w:rPr>
              <w:t>$0.530</w:t>
            </w:r>
          </w:p>
        </w:tc>
        <w:tc>
          <w:tcPr>
            <w:tcW w:type="dxa" w:w="1234"/>
          </w:tcPr>
          <w:p>
            <w:r>
              <w:rPr>
                <w:rFonts w:ascii="Calibri" w:hAnsi="Calibri"/>
                <w:sz w:val="22"/>
              </w:rPr>
              <w:t>$0.565</w:t>
            </w:r>
          </w:p>
        </w:tc>
        <w:tc>
          <w:tcPr>
            <w:tcW w:type="dxa" w:w="1234"/>
          </w:tcPr>
          <w:p>
            <w:r>
              <w:rPr>
                <w:rFonts w:ascii="Calibri" w:hAnsi="Calibri"/>
                <w:sz w:val="22"/>
              </w:rPr>
              <w:t>+6.6%</w:t>
            </w:r>
          </w:p>
        </w:tc>
        <w:tc>
          <w:tcPr>
            <w:tcW w:type="dxa" w:w="1234"/>
          </w:tcPr>
          <w:p>
            <w:r>
              <w:rPr>
                <w:rFonts w:ascii="Calibri" w:hAnsi="Calibri"/>
                <w:sz w:val="22"/>
              </w:rPr>
              <w:t>N/A — segment not separately guided</w:t>
            </w:r>
          </w:p>
        </w:tc>
        <w:tc>
          <w:tcPr>
            <w:tcW w:type="dxa" w:w="1234"/>
          </w:tcPr>
          <w:p>
            <w:r>
              <w:rPr>
                <w:rFonts w:ascii="Calibri" w:hAnsi="Calibri"/>
                <w:sz w:val="22"/>
              </w:rPr>
              <w:t>N/A</w:t>
            </w:r>
          </w:p>
        </w:tc>
      </w:tr>
      <w:tr>
        <w:tc>
          <w:tcPr>
            <w:tcW w:type="dxa" w:w="1234"/>
          </w:tcPr>
          <w:p>
            <w:r>
              <w:rPr>
                <w:rFonts w:ascii="Calibri" w:hAnsi="Calibri"/>
                <w:sz w:val="22"/>
              </w:rPr>
              <w:t>Operating Revenues</w:t>
            </w:r>
          </w:p>
        </w:tc>
        <w:tc>
          <w:tcPr>
            <w:tcW w:type="dxa" w:w="1234"/>
          </w:tcPr>
          <w:p>
            <w:r>
              <w:rPr>
                <w:rFonts w:ascii="Calibri" w:hAnsi="Calibri"/>
                <w:sz w:val="22"/>
              </w:rPr>
              <w:t>$6.701B</w:t>
            </w:r>
          </w:p>
        </w:tc>
        <w:tc>
          <w:tcPr>
            <w:tcW w:type="dxa" w:w="1234"/>
          </w:tcPr>
          <w:p>
            <w:r>
              <w:rPr>
                <w:rFonts w:ascii="Calibri" w:hAnsi="Calibri"/>
                <w:sz w:val="22"/>
              </w:rPr>
              <w:t>$6.700B</w:t>
            </w:r>
          </w:p>
        </w:tc>
        <w:tc>
          <w:tcPr>
            <w:tcW w:type="dxa" w:w="1234"/>
          </w:tcPr>
          <w:p>
            <w:r>
              <w:rPr>
                <w:rFonts w:ascii="Calibri" w:hAnsi="Calibri"/>
                <w:sz w:val="22"/>
              </w:rPr>
              <w:t>$7.923B</w:t>
            </w:r>
          </w:p>
        </w:tc>
        <w:tc>
          <w:tcPr>
            <w:tcW w:type="dxa" w:w="1234"/>
          </w:tcPr>
          <w:p>
            <w:r>
              <w:rPr>
                <w:rFonts w:ascii="Calibri" w:hAnsi="Calibri"/>
                <w:sz w:val="22"/>
              </w:rPr>
              <w:t>+18.3%</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CapEx</w:t>
            </w:r>
          </w:p>
        </w:tc>
        <w:tc>
          <w:tcPr>
            <w:tcW w:type="dxa" w:w="1234"/>
          </w:tcPr>
          <w:p>
            <w:r>
              <w:rPr>
                <w:rFonts w:ascii="Calibri" w:hAnsi="Calibri"/>
                <w:sz w:val="22"/>
              </w:rPr>
              <w:t>$3.085B</w:t>
            </w:r>
          </w:p>
        </w:tc>
        <w:tc>
          <w:tcPr>
            <w:tcW w:type="dxa" w:w="1234"/>
          </w:tcPr>
          <w:p>
            <w:r>
              <w:rPr>
                <w:rFonts w:ascii="Calibri" w:hAnsi="Calibri"/>
                <w:sz w:val="22"/>
              </w:rPr>
              <w:t>$1.960B</w:t>
            </w:r>
          </w:p>
        </w:tc>
        <w:tc>
          <w:tcPr>
            <w:tcW w:type="dxa" w:w="1234"/>
          </w:tcPr>
          <w:p>
            <w:r>
              <w:rPr>
                <w:rFonts w:ascii="Calibri" w:hAnsi="Calibri"/>
                <w:sz w:val="22"/>
              </w:rPr>
              <w:t>$2.652B</w:t>
            </w:r>
          </w:p>
        </w:tc>
        <w:tc>
          <w:tcPr>
            <w:tcW w:type="dxa" w:w="1234"/>
          </w:tcPr>
          <w:p>
            <w:r>
              <w:rPr>
                <w:rFonts w:ascii="Calibri" w:hAnsi="Calibri"/>
                <w:sz w:val="22"/>
              </w:rPr>
              <w:t>+35.3%</w:t>
            </w:r>
          </w:p>
        </w:tc>
        <w:tc>
          <w:tcPr>
            <w:tcW w:type="dxa" w:w="1234"/>
          </w:tcPr>
          <w:p>
            <w:r>
              <w:rPr>
                <w:rFonts w:ascii="Calibri" w:hAnsi="Calibri"/>
                <w:sz w:val="22"/>
              </w:rPr>
              <w:t>FPL: $12B–$13B FY2026</w:t>
            </w:r>
          </w:p>
        </w:tc>
        <w:tc>
          <w:tcPr>
            <w:tcW w:type="dxa" w:w="1234"/>
          </w:tcPr>
          <w:p>
            <w:r>
              <w:rPr>
                <w:rFonts w:ascii="Calibri" w:hAnsi="Calibri"/>
                <w:sz w:val="22"/>
              </w:rPr>
              <w:t>N/A — quarterly not guided</w:t>
            </w:r>
          </w:p>
        </w:tc>
      </w:tr>
      <w:tr>
        <w:tc>
          <w:tcPr>
            <w:tcW w:type="dxa" w:w="1234"/>
          </w:tcPr>
          <w:p>
            <w:r>
              <w:rPr>
                <w:rFonts w:ascii="Calibri" w:hAnsi="Calibri"/>
                <w:sz w:val="22"/>
              </w:rPr>
              <w:t>EBITDA (Operating)</w:t>
            </w:r>
          </w:p>
        </w:tc>
        <w:tc>
          <w:tcPr>
            <w:tcW w:type="dxa" w:w="1234"/>
          </w:tcPr>
          <w:p>
            <w:r>
              <w:rPr>
                <w:rFonts w:ascii="Calibri" w:hAnsi="Calibri"/>
                <w:sz w:val="22"/>
              </w:rPr>
              <w:t>$3.579B</w:t>
            </w:r>
          </w:p>
        </w:tc>
        <w:tc>
          <w:tcPr>
            <w:tcW w:type="dxa" w:w="1234"/>
          </w:tcPr>
          <w:p>
            <w:r>
              <w:rPr>
                <w:rFonts w:ascii="Calibri" w:hAnsi="Calibri"/>
                <w:sz w:val="22"/>
              </w:rPr>
              <w:t>$2.927B</w:t>
            </w:r>
          </w:p>
        </w:tc>
        <w:tc>
          <w:tcPr>
            <w:tcW w:type="dxa" w:w="1234"/>
          </w:tcPr>
          <w:p>
            <w:r>
              <w:rPr>
                <w:rFonts w:ascii="Calibri" w:hAnsi="Calibri"/>
                <w:sz w:val="22"/>
              </w:rPr>
              <w:t>$5.135B</w:t>
            </w:r>
          </w:p>
        </w:tc>
        <w:tc>
          <w:tcPr>
            <w:tcW w:type="dxa" w:w="1234"/>
          </w:tcPr>
          <w:p>
            <w:r>
              <w:rPr>
                <w:rFonts w:ascii="Calibri" w:hAnsi="Calibri"/>
                <w:sz w:val="22"/>
              </w:rPr>
              <w:t>+75.5%</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23, 2026. Q1 2026 actuals from NEE Q1 2026 earnings release (April 23, 2026). Note: Operating EBITDA consensus shows a large YoY swing due to mark-to-market derivative adjustments in the reported figure; adjusted EPS is the primary valuation KPI.</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$1.09</w:t>
            </w:r>
          </w:p>
        </w:tc>
        <w:tc>
          <w:tcPr>
            <w:tcW w:type="dxa" w:w="1440"/>
          </w:tcPr>
          <w:p>
            <w:r>
              <w:rPr>
                <w:rFonts w:ascii="Calibri" w:hAnsi="Calibri"/>
                <w:sz w:val="22"/>
              </w:rPr>
              <w:t>$1.027</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FPL EPS</w:t>
            </w:r>
          </w:p>
        </w:tc>
        <w:tc>
          <w:tcPr>
            <w:tcW w:type="dxa" w:w="1440"/>
          </w:tcPr>
          <w:p>
            <w:r>
              <w:rPr>
                <w:rFonts w:ascii="Calibri" w:hAnsi="Calibri"/>
                <w:sz w:val="22"/>
              </w:rPr>
              <w:t>$0.70</w:t>
            </w:r>
          </w:p>
        </w:tc>
        <w:tc>
          <w:tcPr>
            <w:tcW w:type="dxa" w:w="1440"/>
          </w:tcPr>
          <w:p>
            <w:r>
              <w:rPr>
                <w:rFonts w:ascii="Calibri" w:hAnsi="Calibri"/>
                <w:sz w:val="22"/>
              </w:rPr>
              <w:t>$0.702</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$0.54</w:t>
            </w:r>
          </w:p>
        </w:tc>
        <w:tc>
          <w:tcPr>
            <w:tcW w:type="dxa" w:w="1440"/>
          </w:tcPr>
          <w:p>
            <w:r>
              <w:rPr>
                <w:rFonts w:ascii="Calibri" w:hAnsi="Calibri"/>
                <w:sz w:val="22"/>
              </w:rPr>
              <w:t>$0.576</w:t>
            </w:r>
          </w:p>
        </w:tc>
        <w:tc>
          <w:tcPr>
            <w:tcW w:type="dxa" w:w="1440"/>
          </w:tcPr>
          <w:p>
            <w:r>
              <w:rPr>
                <w:rFonts w:ascii="Calibri" w:hAnsi="Calibri"/>
                <w:b/>
                <w:color w:val="E5484D"/>
                <w:sz w:val="22"/>
              </w:rPr>
              <w:t>-6.3%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FPL EPS</w:t>
            </w:r>
          </w:p>
        </w:tc>
        <w:tc>
          <w:tcPr>
            <w:tcW w:type="dxa" w:w="1440"/>
          </w:tcPr>
          <w:p>
            <w:r>
              <w:rPr>
                <w:rFonts w:ascii="Calibri" w:hAnsi="Calibri"/>
                <w:sz w:val="22"/>
              </w:rPr>
              <w:t>$0.46</w:t>
            </w:r>
          </w:p>
        </w:tc>
        <w:tc>
          <w:tcPr>
            <w:tcW w:type="dxa" w:w="1440"/>
          </w:tcPr>
          <w:p>
            <w:r>
              <w:rPr>
                <w:rFonts w:ascii="Calibri" w:hAnsi="Calibri"/>
                <w:sz w:val="22"/>
              </w:rPr>
              <w:t>$0.388</w:t>
            </w:r>
          </w:p>
        </w:tc>
        <w:tc>
          <w:tcPr>
            <w:tcW w:type="dxa" w:w="1440"/>
          </w:tcPr>
          <w:p>
            <w:r>
              <w:rPr>
                <w:rFonts w:ascii="Calibri" w:hAnsi="Calibri"/>
                <w:b/>
                <w:color w:val="30A46C"/>
                <w:sz w:val="22"/>
              </w:rPr>
              <w:t>+18.6%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$1.13</w:t>
            </w:r>
          </w:p>
        </w:tc>
        <w:tc>
          <w:tcPr>
            <w:tcW w:type="dxa" w:w="1440"/>
          </w:tcPr>
          <w:p>
            <w:r>
              <w:rPr>
                <w:rFonts w:ascii="Calibri" w:hAnsi="Calibri"/>
                <w:sz w:val="22"/>
              </w:rPr>
              <w:t>$0.986</w:t>
            </w:r>
          </w:p>
        </w:tc>
        <w:tc>
          <w:tcPr>
            <w:tcW w:type="dxa" w:w="1440"/>
          </w:tcPr>
          <w:p>
            <w:r>
              <w:rPr>
                <w:rFonts w:ascii="Calibri" w:hAnsi="Calibri"/>
                <w:b/>
                <w:color w:val="30A46C"/>
                <w:sz w:val="22"/>
              </w:rPr>
              <w:t>+14.6%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FPL EPS</w:t>
            </w:r>
          </w:p>
        </w:tc>
        <w:tc>
          <w:tcPr>
            <w:tcW w:type="dxa" w:w="1440"/>
          </w:tcPr>
          <w:p>
            <w:r>
              <w:rPr>
                <w:rFonts w:ascii="Calibri" w:hAnsi="Calibri"/>
                <w:sz w:val="22"/>
              </w:rPr>
              <w:t>$0.71</w:t>
            </w:r>
          </w:p>
        </w:tc>
        <w:tc>
          <w:tcPr>
            <w:tcW w:type="dxa" w:w="1440"/>
          </w:tcPr>
          <w:p>
            <w:r>
              <w:rPr>
                <w:rFonts w:ascii="Calibri" w:hAnsi="Calibri"/>
                <w:sz w:val="22"/>
              </w:rPr>
              <w:t>$0.658</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$1.050</w:t>
            </w:r>
          </w:p>
        </w:tc>
        <w:tc>
          <w:tcPr>
            <w:tcW w:type="dxa" w:w="1440"/>
          </w:tcPr>
          <w:p>
            <w:r>
              <w:rPr>
                <w:rFonts w:ascii="Calibri" w:hAnsi="Calibri"/>
                <w:sz w:val="22"/>
              </w:rPr>
              <w:t>$1.009</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FPL EPS</w:t>
            </w:r>
          </w:p>
        </w:tc>
        <w:tc>
          <w:tcPr>
            <w:tcW w:type="dxa" w:w="1440"/>
          </w:tcPr>
          <w:p>
            <w:r>
              <w:rPr>
                <w:rFonts w:ascii="Calibri" w:hAnsi="Calibri"/>
                <w:sz w:val="22"/>
              </w:rPr>
              <w:t>$0.620</w:t>
            </w:r>
          </w:p>
        </w:tc>
        <w:tc>
          <w:tcPr>
            <w:tcW w:type="dxa" w:w="1440"/>
          </w:tcPr>
          <w:p>
            <w:r>
              <w:rPr>
                <w:rFonts w:ascii="Calibri" w:hAnsi="Calibri"/>
                <w:sz w:val="22"/>
              </w:rPr>
              <w:t>$0.636</w:t>
            </w:r>
          </w:p>
        </w:tc>
        <w:tc>
          <w:tcPr>
            <w:tcW w:type="dxa" w:w="1440"/>
          </w:tcPr>
          <w:p>
            <w:r>
              <w:rPr>
                <w:rFonts w:ascii="Calibri" w:hAnsi="Calibri"/>
                <w:sz w:val="22"/>
              </w:rPr>
              <w:t>-2.5%</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$0.989</w:t>
            </w:r>
          </w:p>
        </w:tc>
        <w:tc>
          <w:tcPr>
            <w:tcW w:type="dxa" w:w="1440"/>
          </w:tcPr>
          <w:p>
            <w:r>
              <w:rPr>
                <w:rFonts w:ascii="Calibri" w:hAnsi="Calibri"/>
                <w:sz w:val="22"/>
              </w:rPr>
              <w:t>$0.942</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FPL EPS</w:t>
            </w:r>
          </w:p>
        </w:tc>
        <w:tc>
          <w:tcPr>
            <w:tcW w:type="dxa" w:w="1440"/>
          </w:tcPr>
          <w:p>
            <w:r>
              <w:rPr>
                <w:rFonts w:ascii="Calibri" w:hAnsi="Calibri"/>
                <w:sz w:val="22"/>
              </w:rPr>
              <w:t>$0.640</w:t>
            </w:r>
          </w:p>
        </w:tc>
        <w:tc>
          <w:tcPr>
            <w:tcW w:type="dxa" w:w="1440"/>
          </w:tcPr>
          <w:p>
            <w:r>
              <w:rPr>
                <w:rFonts w:ascii="Calibri" w:hAnsi="Calibri"/>
                <w:sz w:val="22"/>
              </w:rPr>
              <w:t>$0.627</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$0.53</w:t>
            </w:r>
          </w:p>
        </w:tc>
        <w:tc>
          <w:tcPr>
            <w:tcW w:type="dxa" w:w="1440"/>
          </w:tcPr>
          <w:p>
            <w:r>
              <w:rPr>
                <w:rFonts w:ascii="Calibri" w:hAnsi="Calibri"/>
                <w:sz w:val="22"/>
              </w:rPr>
              <w:t>$0.595</w:t>
            </w:r>
          </w:p>
        </w:tc>
        <w:tc>
          <w:tcPr>
            <w:tcW w:type="dxa" w:w="1440"/>
          </w:tcPr>
          <w:p>
            <w:r>
              <w:rPr>
                <w:rFonts w:ascii="Calibri" w:hAnsi="Calibri"/>
                <w:b/>
                <w:color w:val="E5484D"/>
                <w:sz w:val="22"/>
              </w:rPr>
              <w:t>-10.9%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FPL EPS</w:t>
            </w:r>
          </w:p>
        </w:tc>
        <w:tc>
          <w:tcPr>
            <w:tcW w:type="dxa" w:w="1440"/>
          </w:tcPr>
          <w:p>
            <w:r>
              <w:rPr>
                <w:rFonts w:ascii="Calibri" w:hAnsi="Calibri"/>
                <w:sz w:val="22"/>
              </w:rPr>
              <w:t>$0.41</w:t>
            </w:r>
          </w:p>
        </w:tc>
        <w:tc>
          <w:tcPr>
            <w:tcW w:type="dxa" w:w="1440"/>
          </w:tcPr>
          <w:p>
            <w:r>
              <w:rPr>
                <w:rFonts w:ascii="Calibri" w:hAnsi="Calibri"/>
                <w:sz w:val="22"/>
              </w:rPr>
              <w:t>$0.409</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$1.03</w:t>
            </w:r>
          </w:p>
        </w:tc>
        <w:tc>
          <w:tcPr>
            <w:tcW w:type="dxa" w:w="1440"/>
          </w:tcPr>
          <w:p>
            <w:r>
              <w:rPr>
                <w:rFonts w:ascii="Calibri" w:hAnsi="Calibri"/>
                <w:sz w:val="22"/>
              </w:rPr>
              <w:t>$1.042</w:t>
            </w:r>
          </w:p>
        </w:tc>
        <w:tc>
          <w:tcPr>
            <w:tcW w:type="dxa" w:w="1440"/>
          </w:tcPr>
          <w:p>
            <w:r>
              <w:rPr>
                <w:rFonts w:ascii="Calibri" w:hAnsi="Calibri"/>
                <w:sz w:val="22"/>
              </w:rPr>
              <w:t>-1.2%</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FPL EPS</w:t>
            </w:r>
          </w:p>
        </w:tc>
        <w:tc>
          <w:tcPr>
            <w:tcW w:type="dxa" w:w="1440"/>
          </w:tcPr>
          <w:p>
            <w:r>
              <w:rPr>
                <w:rFonts w:ascii="Calibri" w:hAnsi="Calibri"/>
                <w:sz w:val="22"/>
              </w:rPr>
              <w:t>$0.63</w:t>
            </w:r>
          </w:p>
        </w:tc>
        <w:tc>
          <w:tcPr>
            <w:tcW w:type="dxa" w:w="1440"/>
          </w:tcPr>
          <w:p>
            <w:r>
              <w:rPr>
                <w:rFonts w:ascii="Calibri" w:hAnsi="Calibri"/>
                <w:sz w:val="22"/>
              </w:rPr>
              <w:t>$0.671</w:t>
            </w:r>
          </w:p>
        </w:tc>
        <w:tc>
          <w:tcPr>
            <w:tcW w:type="dxa" w:w="1440"/>
          </w:tcPr>
          <w:p>
            <w:r>
              <w:rPr>
                <w:rFonts w:ascii="Calibri" w:hAnsi="Calibri"/>
                <w:b/>
                <w:color w:val="E5484D"/>
                <w:sz w:val="22"/>
              </w:rPr>
              <w:t>-6.1%</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$0.964</w:t>
            </w:r>
          </w:p>
        </w:tc>
        <w:tc>
          <w:tcPr>
            <w:tcW w:type="dxa" w:w="1440"/>
          </w:tcPr>
          <w:p>
            <w:r>
              <w:rPr>
                <w:rFonts w:ascii="Calibri" w:hAnsi="Calibri"/>
                <w:sz w:val="22"/>
              </w:rPr>
              <w:t>$0.899</w:t>
            </w:r>
          </w:p>
        </w:tc>
        <w:tc>
          <w:tcPr>
            <w:tcW w:type="dxa" w:w="1440"/>
          </w:tcPr>
          <w:p>
            <w:r>
              <w:rPr>
                <w:rFonts w:ascii="Calibri" w:hAnsi="Calibri"/>
                <w:b/>
                <w:color w:val="30A46C"/>
                <w:sz w:val="22"/>
              </w:rPr>
              <w:t>+7.3%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FPL EPS</w:t>
            </w:r>
          </w:p>
        </w:tc>
        <w:tc>
          <w:tcPr>
            <w:tcW w:type="dxa" w:w="1440"/>
          </w:tcPr>
          <w:p>
            <w:r>
              <w:rPr>
                <w:rFonts w:ascii="Calibri" w:hAnsi="Calibri"/>
                <w:sz w:val="22"/>
              </w:rPr>
              <w:t>$0.599</w:t>
            </w:r>
          </w:p>
        </w:tc>
        <w:tc>
          <w:tcPr>
            <w:tcW w:type="dxa" w:w="1440"/>
          </w:tcPr>
          <w:p>
            <w:r>
              <w:rPr>
                <w:rFonts w:ascii="Calibri" w:hAnsi="Calibri"/>
                <w:sz w:val="22"/>
              </w:rPr>
              <w:t>$0.581</w:t>
            </w:r>
          </w:p>
        </w:tc>
        <w:tc>
          <w:tcPr>
            <w:tcW w:type="dxa" w:w="1440"/>
          </w:tcPr>
          <w:p>
            <w:r>
              <w:rPr>
                <w:rFonts w:ascii="Calibri" w:hAnsi="Calibri"/>
                <w:b/>
                <w:color w:val="30A46C"/>
                <w:sz w:val="22"/>
              </w:rPr>
              <w:t>+3.1%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NEE has beaten adjusted EPS consensus in 5 of the last 8 quarters, with Q4 quarters historically the most volatile (two misses in Q4 2024 and Q4 2025 driven by mark-to-market and tax timing). The Q1 2026 beat of +6.1% was the strongest in recent history; FPL EPS has been more consistent but also more in-line, with NEER driving the upside surprises.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management reaffirmed the $3.92–$4.02 full-year 2026 adjusted EPS range and explicitly targeted the high end; the only post-earnings guidance-adjacent development is the </w:t>
      </w:r>
      <w:r>
        <w:rPr>
          <w:rFonts w:ascii="Calibri" w:hAnsi="Calibri"/>
          <w:b/>
          <w:color w:val="525866"/>
          <w:sz w:val="22"/>
        </w:rPr>
        <w:t>Dominion merger announcement on May 18</w:t>
      </w:r>
      <w:r>
        <w:rPr>
          <w:rFonts w:ascii="Calibri" w:hAnsi="Calibri"/>
          <w:color w:val="525866"/>
          <w:sz w:val="22"/>
        </w:rPr>
        <w:t>, which introduced a new long-term EPS growth target of 9%+ through 2032 for the combined entity but did not alter standalone 2026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$3.92–$4.02; targeting high end</w:t>
            </w:r>
          </w:p>
        </w:tc>
        <w:tc>
          <w:tcPr>
            <w:tcW w:type="dxa" w:w="1728"/>
          </w:tcPr>
          <w:p>
            <w:r>
              <w:rPr>
                <w:rFonts w:ascii="Calibri" w:hAnsi="Calibri"/>
                <w:sz w:val="22"/>
              </w:rPr>
              <w:t>—</w:t>
            </w:r>
          </w:p>
        </w:tc>
        <w:tc>
          <w:tcPr>
            <w:tcW w:type="dxa" w:w="1728"/>
          </w:tcPr>
          <w:p>
            <w:r>
              <w:rPr>
                <w:rFonts w:ascii="Calibri" w:hAnsi="Calibri"/>
                <w:sz w:val="22"/>
              </w:rPr>
              <w:t>$4.035</w:t>
            </w:r>
          </w:p>
        </w:tc>
        <w:tc>
          <w:tcPr>
            <w:tcW w:type="dxa" w:w="1728"/>
          </w:tcPr>
          <w:p>
            <w:r>
              <w:rPr>
                <w:rFonts w:ascii="Calibri" w:hAnsi="Calibri"/>
                <w:sz w:val="22"/>
              </w:rPr>
              <w:t>Unchanged; consensus sits just above midpoint, consistent with high-end targeting posture</w:t>
            </w:r>
          </w:p>
        </w:tc>
      </w:tr>
      <w:tr>
        <w:tc>
          <w:tcPr>
            <w:tcW w:type="dxa" w:w="1728"/>
          </w:tcPr>
          <w:p>
            <w:r>
              <w:rPr>
                <w:rFonts w:ascii="Calibri" w:hAnsi="Calibri"/>
                <w:sz w:val="22"/>
              </w:rPr>
              <w:t>FY 2026 FPL CapEx</w:t>
            </w:r>
          </w:p>
        </w:tc>
        <w:tc>
          <w:tcPr>
            <w:tcW w:type="dxa" w:w="1728"/>
          </w:tcPr>
          <w:p>
            <w:r>
              <w:rPr>
                <w:rFonts w:ascii="Calibri" w:hAnsi="Calibri"/>
                <w:sz w:val="22"/>
              </w:rPr>
              <w:t>$12B–$13B (raised from prior $10B–$11B)</w:t>
            </w:r>
          </w:p>
        </w:tc>
        <w:tc>
          <w:tcPr>
            <w:tcW w:type="dxa" w:w="1728"/>
          </w:tcPr>
          <w:p>
            <w:r>
              <w:rPr>
                <w:rFonts w:ascii="Calibri" w:hAnsi="Calibri"/>
                <w:sz w:val="22"/>
              </w:rPr>
              <w:t>—</w:t>
            </w:r>
          </w:p>
        </w:tc>
        <w:tc>
          <w:tcPr>
            <w:tcW w:type="dxa" w:w="1728"/>
          </w:tcPr>
          <w:p>
            <w:r>
              <w:rPr>
                <w:rFonts w:ascii="Calibri" w:hAnsi="Calibri"/>
                <w:sz w:val="22"/>
              </w:rPr>
              <w:t>~$11.3B (FY consensus)</w:t>
            </w:r>
          </w:p>
        </w:tc>
        <w:tc>
          <w:tcPr>
            <w:tcW w:type="dxa" w:w="1728"/>
          </w:tcPr>
          <w:p>
            <w:r>
              <w:rPr>
                <w:rFonts w:ascii="Calibri" w:hAnsi="Calibri"/>
                <w:sz w:val="22"/>
              </w:rPr>
              <w:t>Raised at Q1 call due to solar panel pull-forward to lock in pre-tariff pricing; no further revision</w:t>
            </w:r>
          </w:p>
        </w:tc>
      </w:tr>
      <w:tr>
        <w:tc>
          <w:tcPr>
            <w:tcW w:type="dxa" w:w="1728"/>
          </w:tcPr>
          <w:p>
            <w:r>
              <w:rPr>
                <w:rFonts w:ascii="Calibri" w:hAnsi="Calibri"/>
                <w:sz w:val="22"/>
              </w:rPr>
              <w:t>Adj. EPS CAGR (2025–2032)</w:t>
            </w:r>
          </w:p>
        </w:tc>
        <w:tc>
          <w:tcPr>
            <w:tcW w:type="dxa" w:w="1728"/>
          </w:tcPr>
          <w:p>
            <w:r>
              <w:rPr>
                <w:rFonts w:ascii="Calibri" w:hAnsi="Calibri"/>
                <w:sz w:val="22"/>
              </w:rPr>
              <w:t>8%+ (standalone NEE, off $3.71 2025 base)</w:t>
            </w:r>
          </w:p>
        </w:tc>
        <w:tc>
          <w:tcPr>
            <w:tcW w:type="dxa" w:w="1728"/>
          </w:tcPr>
          <w:p>
            <w:r>
              <w:rPr>
                <w:rFonts w:ascii="Calibri" w:hAnsi="Calibri"/>
                <w:sz w:val="22"/>
              </w:rPr>
              <w:t>9%+ (combined NEE+D, announced May 18)</w:t>
            </w:r>
          </w:p>
        </w:tc>
        <w:tc>
          <w:tcPr>
            <w:tcW w:type="dxa" w:w="1728"/>
          </w:tcPr>
          <w:p>
            <w:r>
              <w:rPr>
                <w:rFonts w:ascii="Calibri" w:hAnsi="Calibri"/>
                <w:sz w:val="22"/>
              </w:rPr>
              <w:t>N/A — long-term target</w:t>
            </w:r>
          </w:p>
        </w:tc>
        <w:tc>
          <w:tcPr>
            <w:tcW w:type="dxa" w:w="1728"/>
          </w:tcPr>
          <w:p>
            <w:r>
              <w:rPr>
                <w:rFonts w:ascii="Calibri" w:hAnsi="Calibri"/>
                <w:sz w:val="22"/>
              </w:rPr>
              <w:t>↑ Raised via merger announcement May 18, 2026; combined entity targets 9%+ EPS CAGR through 2032 and 2035; accretive at close</w:t>
            </w:r>
          </w:p>
        </w:tc>
      </w:tr>
      <w:tr>
        <w:tc>
          <w:tcPr>
            <w:tcW w:type="dxa" w:w="1728"/>
          </w:tcPr>
          <w:p>
            <w:r>
              <w:rPr>
                <w:rFonts w:ascii="Calibri" w:hAnsi="Calibri"/>
                <w:sz w:val="22"/>
              </w:rPr>
              <w:t>Dividend Growth</w:t>
            </w:r>
          </w:p>
        </w:tc>
        <w:tc>
          <w:tcPr>
            <w:tcW w:type="dxa" w:w="1728"/>
          </w:tcPr>
          <w:p>
            <w:r>
              <w:rPr>
                <w:rFonts w:ascii="Calibri" w:hAnsi="Calibri"/>
                <w:sz w:val="22"/>
              </w:rPr>
              <w:t>~10%/yr through 2026 (2024 base); 6%/yr 2026–2028</w:t>
            </w:r>
          </w:p>
        </w:tc>
        <w:tc>
          <w:tcPr>
            <w:tcW w:type="dxa" w:w="1728"/>
          </w:tcPr>
          <w:p>
            <w:r>
              <w:rPr>
                <w:rFonts w:ascii="Calibri" w:hAnsi="Calibri"/>
                <w:sz w:val="22"/>
              </w:rPr>
              <w:t>6%/yr through 2028 (combined entity post-close)</w:t>
            </w:r>
          </w:p>
        </w:tc>
        <w:tc>
          <w:tcPr>
            <w:tcW w:type="dxa" w:w="1728"/>
          </w:tcPr>
          <w:p>
            <w:r>
              <w:rPr>
                <w:rFonts w:ascii="Calibri" w:hAnsi="Calibri"/>
                <w:sz w:val="22"/>
              </w:rPr>
              <w:t>N/A — policy target</w:t>
            </w:r>
          </w:p>
        </w:tc>
        <w:tc>
          <w:tcPr>
            <w:tcW w:type="dxa" w:w="1728"/>
          </w:tcPr>
          <w:p>
            <w:r>
              <w:rPr>
                <w:rFonts w:ascii="Calibri" w:hAnsi="Calibri"/>
                <w:sz w:val="22"/>
              </w:rPr>
              <w:t>Merger announcement confirmed 6% annual dividend growth policy through 2028 for combined company</w:t>
            </w:r>
          </w:p>
        </w:tc>
      </w:tr>
      <w:tr>
        <w:tc>
          <w:tcPr>
            <w:tcW w:type="dxa" w:w="1728"/>
          </w:tcPr>
          <w:p>
            <w:r>
              <w:rPr>
                <w:rFonts w:ascii="Calibri" w:hAnsi="Calibri"/>
                <w:sz w:val="22"/>
              </w:rPr>
              <w:t>Energy Resources Backlog</w:t>
            </w:r>
          </w:p>
        </w:tc>
        <w:tc>
          <w:tcPr>
            <w:tcW w:type="dxa" w:w="1728"/>
          </w:tcPr>
          <w:p>
            <w:r>
              <w:rPr>
                <w:rFonts w:ascii="Calibri" w:hAnsi="Calibri"/>
                <w:sz w:val="22"/>
              </w:rPr>
              <w:t>~33 GW (record; 4 GW added in Q1)</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Watch for Q2 origination update; management guided for further acceleration in coming quarters</w:t>
            </w:r>
          </w:p>
        </w:tc>
      </w:tr>
      <w:tr>
        <w:tc>
          <w:tcPr>
            <w:tcW w:type="dxa" w:w="1728"/>
          </w:tcPr>
          <w:p>
            <w:r>
              <w:rPr>
                <w:rFonts w:ascii="Calibri" w:hAnsi="Calibri"/>
                <w:sz w:val="22"/>
              </w:rPr>
              <w:t>FPL Large Load Tariff Conversion</w:t>
            </w:r>
          </w:p>
        </w:tc>
        <w:tc>
          <w:tcPr>
            <w:tcW w:type="dxa" w:w="1728"/>
          </w:tcPr>
          <w:p>
            <w:r>
              <w:rPr>
                <w:rFonts w:ascii="Calibri" w:hAnsi="Calibri"/>
                <w:sz w:val="22"/>
              </w:rPr>
              <w:t>At least 1 customer to sign by year-end 2026</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Key Q2 catalyst; any signed agreement would be a significant positive signal</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Full-year 2026 adjusted EPS estimates have been </w:t>
      </w:r>
      <w:r>
        <w:rPr>
          <w:rFonts w:ascii="Calibri" w:hAnsi="Calibri"/>
          <w:b/>
          <w:color w:val="525866"/>
          <w:sz w:val="22"/>
        </w:rPr>
        <w:t>essentially flat since the Q1 print</w:t>
      </w:r>
      <w:r>
        <w:rPr>
          <w:rFonts w:ascii="Calibri" w:hAnsi="Calibri"/>
          <w:color w:val="525866"/>
          <w:sz w:val="22"/>
        </w:rPr>
        <w:t xml:space="preserve"> ($4.031 → $4.035, +0.1%), suggesting the Street has fully absorbed the Q1 beat and high-end guidance without further upward revision — a neutral setup. Q2 2026 estimates ticked slightly </w:t>
      </w:r>
      <w:r>
        <w:rPr>
          <w:rFonts w:ascii="Calibri" w:hAnsi="Calibri"/>
          <w:b/>
          <w:color w:val="525866"/>
          <w:sz w:val="22"/>
        </w:rPr>
        <w:t>lower</w:t>
      </w:r>
      <w:r>
        <w:rPr>
          <w:rFonts w:ascii="Calibri" w:hAnsi="Calibri"/>
          <w:color w:val="525866"/>
          <w:sz w:val="22"/>
        </w:rPr>
        <w:t xml:space="preserve"> post-Q1 ($1.113 → $1.109, -0.4%), consistent with seasonal patterns and not a red flag.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(5 days post-Q1)</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$1.113</w:t>
            </w:r>
          </w:p>
        </w:tc>
        <w:tc>
          <w:tcPr>
            <w:tcW w:type="dxa" w:w="1080"/>
          </w:tcPr>
          <w:p>
            <w:r>
              <w:rPr>
                <w:rFonts w:ascii="Calibri" w:hAnsi="Calibri"/>
                <w:sz w:val="22"/>
              </w:rPr>
              <w:t>$1.109</w:t>
            </w:r>
          </w:p>
        </w:tc>
        <w:tc>
          <w:tcPr>
            <w:tcW w:type="dxa" w:w="1080"/>
          </w:tcPr>
          <w:p>
            <w:r>
              <w:rPr>
                <w:rFonts w:ascii="Calibri" w:hAnsi="Calibri"/>
                <w:sz w:val="22"/>
              </w:rPr>
              <w:t>-0.4%</w:t>
            </w:r>
          </w:p>
        </w:tc>
        <w:tc>
          <w:tcPr>
            <w:tcW w:type="dxa" w:w="1080"/>
          </w:tcPr>
          <w:p>
            <w:r>
              <w:rPr>
                <w:rFonts w:ascii="Calibri" w:hAnsi="Calibri"/>
                <w:sz w:val="22"/>
              </w:rPr>
              <w:t>N/A —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$4.031</w:t>
            </w:r>
          </w:p>
        </w:tc>
        <w:tc>
          <w:tcPr>
            <w:tcW w:type="dxa" w:w="1080"/>
          </w:tcPr>
          <w:p>
            <w:r>
              <w:rPr>
                <w:rFonts w:ascii="Calibri" w:hAnsi="Calibri"/>
                <w:sz w:val="22"/>
              </w:rPr>
              <w:t>$4.035</w:t>
            </w:r>
          </w:p>
        </w:tc>
        <w:tc>
          <w:tcPr>
            <w:tcW w:type="dxa" w:w="1080"/>
          </w:tcPr>
          <w:p>
            <w:r>
              <w:rPr>
                <w:rFonts w:ascii="Calibri" w:hAnsi="Calibri"/>
                <w:sz w:val="22"/>
              </w:rPr>
              <w:t>+0.1%</w:t>
            </w:r>
          </w:p>
        </w:tc>
        <w:tc>
          <w:tcPr>
            <w:tcW w:type="dxa" w:w="1080"/>
          </w:tcPr>
          <w:p>
            <w:r>
              <w:rPr>
                <w:rFonts w:ascii="Calibri" w:hAnsi="Calibri"/>
                <w:sz w:val="22"/>
              </w:rPr>
              <w:t>$3.92–$4.02 (high end targeted)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 +0.3% vs. high end</w:t>
            </w:r>
          </w:p>
        </w:tc>
      </w:tr>
      <w:tr>
        <w:tc>
          <w:tcPr>
            <w:tcW w:type="dxa" w:w="1080"/>
          </w:tcPr>
          <w:p>
            <w:r>
              <w:rPr>
                <w:rFonts w:ascii="Calibri" w:hAnsi="Calibri"/>
                <w:sz w:val="22"/>
              </w:rPr>
              <w:t>Adj. EPS — FY 2027</w:t>
            </w:r>
          </w:p>
        </w:tc>
        <w:tc>
          <w:tcPr>
            <w:tcW w:type="dxa" w:w="1080"/>
          </w:tcPr>
          <w:p>
            <w:r>
              <w:rPr>
                <w:rFonts w:ascii="Calibri" w:hAnsi="Calibri"/>
                <w:sz w:val="22"/>
              </w:rPr>
              <w:t>$4.391</w:t>
            </w:r>
          </w:p>
        </w:tc>
        <w:tc>
          <w:tcPr>
            <w:tcW w:type="dxa" w:w="1080"/>
          </w:tcPr>
          <w:p>
            <w:r>
              <w:rPr>
                <w:rFonts w:ascii="Calibri" w:hAnsi="Calibri"/>
                <w:sz w:val="22"/>
              </w:rPr>
              <w:t>$4.405</w:t>
            </w:r>
          </w:p>
        </w:tc>
        <w:tc>
          <w:tcPr>
            <w:tcW w:type="dxa" w:w="1080"/>
          </w:tcPr>
          <w:p>
            <w:r>
              <w:rPr>
                <w:rFonts w:ascii="Calibri" w:hAnsi="Calibri"/>
                <w:sz w:val="22"/>
              </w:rPr>
              <w:t>+0.3%</w:t>
            </w:r>
          </w:p>
        </w:tc>
        <w:tc>
          <w:tcPr>
            <w:tcW w:type="dxa" w:w="1080"/>
          </w:tcPr>
          <w:p>
            <w:r>
              <w:rPr>
                <w:rFonts w:ascii="Calibri" w:hAnsi="Calibri"/>
                <w:sz w:val="22"/>
              </w:rPr>
              <w:t>8%+ CAGR off $3.71 (2025 base)</w:t>
            </w:r>
          </w:p>
        </w:tc>
        <w:tc>
          <w:tcPr>
            <w:tcW w:type="dxa" w:w="1080"/>
          </w:tcPr>
          <w:p>
            <w:r>
              <w:rPr>
                <w:rFonts w:ascii="Calibri" w:hAnsi="Calibri"/>
                <w:sz w:val="22"/>
              </w:rPr>
              <w:t>9%+ CAGR (combined NEE+D)</w:t>
            </w:r>
          </w:p>
        </w:tc>
        <w:tc>
          <w:tcPr>
            <w:tcW w:type="dxa" w:w="1080"/>
          </w:tcPr>
          <w:p>
            <w:r>
              <w:rPr>
                <w:rFonts w:ascii="Calibri" w:hAnsi="Calibri"/>
                <w:sz w:val="22"/>
              </w:rPr>
              <w:t>↑ Raised (merger)</w:t>
            </w:r>
          </w:p>
        </w:tc>
        <w:tc>
          <w:tcPr>
            <w:tcW w:type="dxa" w:w="1080"/>
          </w:tcPr>
          <w:p>
            <w:r>
              <w:rPr>
                <w:rFonts w:ascii="Calibri" w:hAnsi="Calibri"/>
                <w:sz w:val="22"/>
              </w:rPr>
              <w:t>Implies ~18.7% growth vs. 2025 — above standalone 8%+ CAGR</w:t>
            </w:r>
          </w:p>
        </w:tc>
      </w:tr>
      <w:tr>
        <w:tc>
          <w:tcPr>
            <w:tcW w:type="dxa" w:w="1080"/>
          </w:tcPr>
          <w:p>
            <w:r>
              <w:rPr>
                <w:rFonts w:ascii="Calibri" w:hAnsi="Calibri"/>
                <w:sz w:val="22"/>
              </w:rPr>
              <w:t>FPL EPS — Q2 2026</w:t>
            </w:r>
          </w:p>
        </w:tc>
        <w:tc>
          <w:tcPr>
            <w:tcW w:type="dxa" w:w="1080"/>
          </w:tcPr>
          <w:p>
            <w:r>
              <w:rPr>
                <w:rFonts w:ascii="Calibri" w:hAnsi="Calibri"/>
                <w:sz w:val="22"/>
              </w:rPr>
              <w:t>$0.724</w:t>
            </w:r>
          </w:p>
        </w:tc>
        <w:tc>
          <w:tcPr>
            <w:tcW w:type="dxa" w:w="1080"/>
          </w:tcPr>
          <w:p>
            <w:r>
              <w:rPr>
                <w:rFonts w:ascii="Calibri" w:hAnsi="Calibri"/>
                <w:sz w:val="22"/>
              </w:rPr>
              <w:t>$0.678</w:t>
            </w:r>
          </w:p>
        </w:tc>
        <w:tc>
          <w:tcPr>
            <w:tcW w:type="dxa" w:w="1080"/>
          </w:tcPr>
          <w:p>
            <w:r>
              <w:rPr>
                <w:rFonts w:ascii="Calibri" w:hAnsi="Calibri"/>
                <w:b/>
                <w:color w:val="E5484D"/>
                <w:sz w:val="22"/>
              </w:rPr>
              <w:t>-6.4%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NEER Adj. EPS — Q2 2026</w:t>
            </w:r>
          </w:p>
        </w:tc>
        <w:tc>
          <w:tcPr>
            <w:tcW w:type="dxa" w:w="1080"/>
          </w:tcPr>
          <w:p>
            <w:r>
              <w:rPr>
                <w:rFonts w:ascii="Calibri" w:hAnsi="Calibri"/>
                <w:sz w:val="22"/>
              </w:rPr>
              <w:t>$0.537</w:t>
            </w:r>
          </w:p>
        </w:tc>
        <w:tc>
          <w:tcPr>
            <w:tcW w:type="dxa" w:w="1080"/>
          </w:tcPr>
          <w:p>
            <w:r>
              <w:rPr>
                <w:rFonts w:ascii="Calibri" w:hAnsi="Calibri"/>
                <w:sz w:val="22"/>
              </w:rPr>
              <w:t>$0.565</w:t>
            </w:r>
          </w:p>
        </w:tc>
        <w:tc>
          <w:tcPr>
            <w:tcW w:type="dxa" w:w="1080"/>
          </w:tcPr>
          <w:p>
            <w:r>
              <w:rPr>
                <w:rFonts w:ascii="Calibri" w:hAnsi="Calibri"/>
                <w:b/>
                <w:color w:val="30A46C"/>
                <w:sz w:val="22"/>
              </w:rPr>
              <w:t>+5.2%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notable divergence is FPL Q2 2026 estimates being revised down ~6.4% since the Q1 print, likely reflecting the Street’s recalibration of the large load tariff conversion timeline. Conversely, NEER Q2 estimates have been revised up +5.2%, consistent with the record backlog and recontracting tailwinds highlighted on the Q1 call.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NEE surged ~7% on Q1 earnings day (Apr 23: $90.00 → $96.25) but has since </w:t>
      </w:r>
      <w:r>
        <w:rPr>
          <w:rFonts w:ascii="Calibri" w:hAnsi="Calibri"/>
          <w:b/>
          <w:color w:val="525866"/>
          <w:sz w:val="22"/>
        </w:rPr>
        <w:t>given back all of those gains and more</w:t>
      </w:r>
      <w:r>
        <w:rPr>
          <w:rFonts w:ascii="Calibri" w:hAnsi="Calibri"/>
          <w:color w:val="525866"/>
          <w:sz w:val="22"/>
        </w:rPr>
        <w:t xml:space="preserve">, closing at $89.41 on July 22 — down ~7.1% from the earnings-day close and underperforming XLU (which is roughly flat over the same period). The </w:t>
      </w:r>
      <w:r>
        <w:rPr>
          <w:rFonts w:ascii="Calibri" w:hAnsi="Calibri"/>
          <w:b/>
          <w:color w:val="525866"/>
          <w:sz w:val="22"/>
        </w:rPr>
        <w:t>Dominion merger announcement on May 18</w:t>
      </w:r>
      <w:r>
        <w:rPr>
          <w:rFonts w:ascii="Calibri" w:hAnsi="Calibri"/>
          <w:color w:val="525866"/>
          <w:sz w:val="22"/>
        </w:rPr>
        <w:t xml:space="preserve"> was the primary catalyst for the underperformance, with the stock dropping from $93.36 (May 15) to $89.04 (May 18) and continuing to drift lower through early June; performance has been recovering since mid-June but has not recaptured the post-Q1 high. The stock’s underperformance vs. XLU reflects multiple compression on merger dilution/complexity concerns rather than any deterioration in underlying fundamentals.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NEE vs. XLU vs. S&amp;P 500 — Indexed to 100 at Q1 2026 Earnings (April 23, 2026). Source: Stock Price Data.</w:t>
      </w:r>
    </w:p>
    <w:p>
      <w:r>
        <w:rPr>
          <w:rFonts w:ascii="Calibri" w:hAnsi="Calibri"/>
          <w:color w:val="525866"/>
          <w:sz w:val="22"/>
        </w:rPr>
        <w:t>Key events marked: (1) Q1 2026 Earnings — Apr 23: NEE surges ~7% on record NEER origination and US-Japan DOC selection. (2) Dominion Merger Announcement — May 18: NEE drops ~4.6% on dilution/complexity concerns; stock decouples from XLU. (3) Pro Forma Financials Filed — Jun 15: 8-K filing of pro forma financials for pending merger. (4) $3.75B Junior Subordinated Debenture Issuance — Jun 22: NEECH raises $3.75B in hybrid debt, partially merger-financing related. Source: Stock Price Data; NEE 8-K filings.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Dominion Energy merger announcement (May 18)</w:t>
      </w:r>
      <w:r>
        <w:rPr>
          <w:rFonts w:ascii="Calibri" w:hAnsi="Calibri"/>
          <w:color w:val="525866"/>
          <w:sz w:val="22"/>
        </w:rPr>
        <w:t xml:space="preserve"> is the single most consequential development since Q1 earnings — it transforms NEE’s strategic profile and introduces both significant upside (scale, regulated growth runway, 9%+ EPS CAGR) and near-term overhang (regulatory approval timeline of 12–18 months, dilution, integration complexity).</w:t>
      </w:r>
    </w:p>
    <w:p>
      <w:pPr>
        <w:pStyle w:val="ListBullet"/>
        <w:ind w:left="360" w:hanging="360"/>
      </w:pPr>
      <w:r>
        <w:rPr>
          <w:rFonts w:ascii="Calibri" w:hAnsi="Calibri"/>
          <w:b/>
          <w:color w:val="525866"/>
          <w:sz w:val="22"/>
        </w:rPr>
        <w:t>May 18, 2026 — NEE + Dominion Energy Merger Announced (all-stock, 0.8138x exchange ratio):</w:t>
      </w:r>
      <w:r>
        <w:rPr>
          <w:rFonts w:ascii="Calibri" w:hAnsi="Calibri"/>
          <w:color w:val="525866"/>
          <w:sz w:val="22"/>
        </w:rPr>
        <w:t xml:space="preserve"> NEE to acquire Dominion in a 100% stock-for-stock deal creating the world’s largest regulated electric utility by market cap. Combined entity: &gt;80% regulated, ~10M utility customer accounts across FL/VA/NC/SC, $138B combined rate base growing ~11%/yr through 2032, 9%+ adj. EPS CAGR through 2032/2035. NEE shareholders own ~74.5% of combined company. Expected to be immediately accretive to adj. EPS at close. Requires approvals from FERC, NRC, Virginia SCC, NC Utilities Commission, SC PSC, and both shareholder votes. Expected close in 12–18 months. </w:t>
      </w:r>
      <w:r>
        <w:rPr>
          <w:rFonts w:ascii="Calibri" w:hAnsi="Calibri"/>
          <w:b/>
          <w:color w:val="525866"/>
          <w:sz w:val="22"/>
        </w:rPr>
        <w:t>Implication:</w:t>
      </w:r>
      <w:r>
        <w:rPr>
          <w:rFonts w:ascii="Calibri" w:hAnsi="Calibri"/>
          <w:color w:val="525866"/>
          <w:sz w:val="22"/>
        </w:rPr>
        <w:t xml:space="preserve"> Transformative but complex; regulatory risk and timeline uncertainty are the primary overhangs on the stock.</w:t>
      </w:r>
    </w:p>
    <w:p>
      <w:pPr>
        <w:pStyle w:val="ListBullet"/>
        <w:ind w:left="360" w:hanging="360"/>
      </w:pPr>
      <w:r>
        <w:rPr>
          <w:rFonts w:ascii="Calibri" w:hAnsi="Calibri"/>
          <w:b/>
          <w:color w:val="525866"/>
          <w:sz w:val="22"/>
        </w:rPr>
        <w:t>May 18, 2026 — FPL Names New CEO (Planned Succession):</w:t>
      </w:r>
      <w:r>
        <w:rPr>
          <w:rFonts w:ascii="Calibri" w:hAnsi="Calibri"/>
          <w:color w:val="525866"/>
          <w:sz w:val="22"/>
        </w:rPr>
        <w:t xml:space="preserve"> Brian Bolster named President and CEO of FPL in a planned succession. </w:t>
      </w:r>
      <w:r>
        <w:rPr>
          <w:rFonts w:ascii="Calibri" w:hAnsi="Calibri"/>
          <w:b/>
          <w:color w:val="525866"/>
          <w:sz w:val="22"/>
        </w:rPr>
        <w:t>Implication:</w:t>
      </w:r>
      <w:r>
        <w:rPr>
          <w:rFonts w:ascii="Calibri" w:hAnsi="Calibri"/>
          <w:color w:val="525866"/>
          <w:sz w:val="22"/>
        </w:rPr>
        <w:t xml:space="preserve"> Orderly transition; no operational disruption expected.</w:t>
      </w:r>
    </w:p>
    <w:p>
      <w:pPr>
        <w:pStyle w:val="ListBullet"/>
        <w:ind w:left="360" w:hanging="360"/>
      </w:pPr>
      <w:r>
        <w:rPr>
          <w:rFonts w:ascii="Calibri" w:hAnsi="Calibri"/>
          <w:b/>
          <w:color w:val="525866"/>
          <w:sz w:val="22"/>
        </w:rPr>
        <w:t>Jun 15, 2026 — Pro Forma Financials Filed (8-K):</w:t>
      </w:r>
      <w:r>
        <w:rPr>
          <w:rFonts w:ascii="Calibri" w:hAnsi="Calibri"/>
          <w:color w:val="525866"/>
          <w:sz w:val="22"/>
        </w:rPr>
        <w:t xml:space="preserve"> NEE filed pro forma financials for the pending Dominion merger, providing the Street with combined-entity financial modeling inputs. </w:t>
      </w:r>
      <w:r>
        <w:rPr>
          <w:rFonts w:ascii="Calibri" w:hAnsi="Calibri"/>
          <w:b/>
          <w:color w:val="525866"/>
          <w:sz w:val="22"/>
        </w:rPr>
        <w:t>Implication:</w:t>
      </w:r>
      <w:r>
        <w:rPr>
          <w:rFonts w:ascii="Calibri" w:hAnsi="Calibri"/>
          <w:color w:val="525866"/>
          <w:sz w:val="22"/>
        </w:rPr>
        <w:t xml:space="preserve"> Enables analysts to refine accretion/dilution models; generally a positive step in the regulatory/approval process.</w:t>
      </w:r>
    </w:p>
    <w:p>
      <w:pPr>
        <w:pStyle w:val="ListBullet"/>
        <w:ind w:left="360" w:hanging="360"/>
      </w:pPr>
      <w:r>
        <w:rPr>
          <w:rFonts w:ascii="Calibri" w:hAnsi="Calibri"/>
          <w:b/>
          <w:color w:val="525866"/>
          <w:sz w:val="22"/>
        </w:rPr>
        <w:t>Jun 22, 2026 — NEECH Issues $3.75B in Junior Subordinated Debentures:</w:t>
      </w:r>
      <w:r>
        <w:rPr>
          <w:rFonts w:ascii="Calibri" w:hAnsi="Calibri"/>
          <w:color w:val="525866"/>
          <w:sz w:val="22"/>
        </w:rPr>
        <w:t xml:space="preserve"> NextEra Energy Capital Holdings sold $1.0B Series AA (6.000%, due 2056), $1.25B Series BB (6.200%, due 2056), and $1.5B Series CC (6.625%, due 2066) hybrid debentures. All guaranteed on a subordinated basis by NEE. </w:t>
      </w:r>
      <w:r>
        <w:rPr>
          <w:rFonts w:ascii="Calibri" w:hAnsi="Calibri"/>
          <w:b/>
          <w:color w:val="525866"/>
          <w:sz w:val="22"/>
        </w:rPr>
        <w:t>Implication:</w:t>
      </w:r>
      <w:r>
        <w:rPr>
          <w:rFonts w:ascii="Calibri" w:hAnsi="Calibri"/>
          <w:color w:val="525866"/>
          <w:sz w:val="22"/>
        </w:rPr>
        <w:t xml:space="preserve"> Significant capital raise likely related to merger financing and balance sheet positioning; hybrid structure receives partial equity credit from rating agencies, supporting credit metrics.</w:t>
      </w:r>
    </w:p>
    <w:p>
      <w:pPr>
        <w:pStyle w:val="ListBullet"/>
        <w:ind w:left="360" w:hanging="360"/>
      </w:pPr>
      <w:r>
        <w:rPr>
          <w:rFonts w:ascii="Calibri" w:hAnsi="Calibri"/>
          <w:b/>
          <w:color w:val="525866"/>
          <w:sz w:val="22"/>
        </w:rPr>
        <w:t>Jul 8, 2026 — NEE Board Amends Bylaws to Authorize Virtual Shareholder Meetings (8-K):</w:t>
      </w:r>
      <w:r>
        <w:rPr>
          <w:rFonts w:ascii="Calibri" w:hAnsi="Calibri"/>
          <w:color w:val="525866"/>
          <w:sz w:val="22"/>
        </w:rPr>
        <w:t xml:space="preserve"> Administrative governance update. </w:t>
      </w:r>
      <w:r>
        <w:rPr>
          <w:rFonts w:ascii="Calibri" w:hAnsi="Calibri"/>
          <w:b/>
          <w:color w:val="525866"/>
          <w:sz w:val="22"/>
        </w:rPr>
        <w:t>Implication:</w:t>
      </w:r>
      <w:r>
        <w:rPr>
          <w:rFonts w:ascii="Calibri" w:hAnsi="Calibri"/>
          <w:color w:val="525866"/>
          <w:sz w:val="22"/>
        </w:rPr>
        <w:t xml:space="preserve"> Likely facilitates the shareholder vote process for the Dominion merger.</w:t>
      </w:r>
    </w:p>
    <w:p>
      <w:pPr>
        <w:pStyle w:val="ListBullet"/>
        <w:ind w:left="360" w:hanging="360"/>
      </w:pPr>
      <w:r>
        <w:rPr>
          <w:rFonts w:ascii="Calibri" w:hAnsi="Calibri"/>
          <w:b/>
          <w:color w:val="525866"/>
          <w:sz w:val="22"/>
        </w:rPr>
        <w:t>Jul 10, 2026 — Q2 2026 Earnings Date Announced:</w:t>
      </w:r>
      <w:r>
        <w:rPr>
          <w:rFonts w:ascii="Calibri" w:hAnsi="Calibri"/>
          <w:color w:val="525866"/>
          <w:sz w:val="22"/>
        </w:rPr>
        <w:t xml:space="preserve"> NEE confirmed July 24, 2026 as the Q2 2026 earnings release date.</w:t>
      </w:r>
    </w:p>
    <w:p>
      <w:pPr>
        <w:pStyle w:val="ListBullet"/>
        <w:ind w:left="360" w:hanging="360"/>
      </w:pPr>
      <w:r>
        <w:rPr>
          <w:rFonts w:ascii="Calibri" w:hAnsi="Calibri"/>
          <w:b/>
          <w:color w:val="525866"/>
          <w:sz w:val="22"/>
        </w:rPr>
        <w:t>Apr 23, 2026 (Q1 Call) — US-Japan DOC Selection for 9.5 GW Gas Generation:</w:t>
      </w:r>
      <w:r>
        <w:rPr>
          <w:rFonts w:ascii="Calibri" w:hAnsi="Calibri"/>
          <w:color w:val="525866"/>
          <w:sz w:val="22"/>
        </w:rPr>
        <w:t xml:space="preserve"> NEE selected by the US Department of Commerce to develop 9.5 GW of new gas-fired generation (two projects in TX and PA) as part of Japan’s $550B US investment commitment. Capital-light structure (Japan funds, NEE develops). Definitive agreements expected within 2–3 months of the April call. </w:t>
      </w:r>
      <w:r>
        <w:rPr>
          <w:rFonts w:ascii="Calibri" w:hAnsi="Calibri"/>
          <w:b/>
          <w:color w:val="525866"/>
          <w:sz w:val="22"/>
        </w:rPr>
        <w:t>Implication:</w:t>
      </w:r>
      <w:r>
        <w:rPr>
          <w:rFonts w:ascii="Calibri" w:hAnsi="Calibri"/>
          <w:color w:val="525866"/>
          <w:sz w:val="22"/>
        </w:rPr>
        <w:t xml:space="preserve"> Watch for definitive agreement announcement in Q2 — would be a significant positive catalyst.</w:t>
      </w:r>
    </w:p>
    <w:p>
      <w:pPr>
        <w:pStyle w:val="ListBullet"/>
        <w:ind w:left="360" w:hanging="360"/>
      </w:pPr>
      <w:r>
        <w:rPr>
          <w:rFonts w:ascii="Calibri" w:hAnsi="Calibri"/>
          <w:b/>
          <w:color w:val="525866"/>
          <w:sz w:val="22"/>
        </w:rPr>
        <w:t>Apr 23, 2026 (Q1 Call) — Record NEER Origination (33 GW Backlog):</w:t>
      </w:r>
      <w:r>
        <w:rPr>
          <w:rFonts w:ascii="Calibri" w:hAnsi="Calibri"/>
          <w:color w:val="525866"/>
          <w:sz w:val="22"/>
        </w:rPr>
        <w:t xml:space="preserve"> 4 GW added in Q1 (including 1.3 GW battery storage); backlog at 33 GW. Management guided for further acceleration in coming quarters. </w:t>
      </w:r>
      <w:r>
        <w:rPr>
          <w:rFonts w:ascii="Calibri" w:hAnsi="Calibri"/>
          <w:b/>
          <w:color w:val="525866"/>
          <w:sz w:val="22"/>
        </w:rPr>
        <w:t>Implication:</w:t>
      </w:r>
      <w:r>
        <w:rPr>
          <w:rFonts w:ascii="Calibri" w:hAnsi="Calibri"/>
          <w:color w:val="525866"/>
          <w:sz w:val="22"/>
        </w:rPr>
        <w:t xml:space="preserve"> Q2 origination update is a key watch item; any acceleration above 4 GW would be incrementally positive.</w:t>
      </w:r>
    </w:p>
    <w:p>
      <w:pPr>
        <w:pStyle w:val="ListBullet"/>
        <w:ind w:left="360" w:hanging="360"/>
      </w:pPr>
      <w:r>
        <w:rPr>
          <w:rFonts w:ascii="Calibri" w:hAnsi="Calibri"/>
          <w:b/>
          <w:color w:val="525866"/>
          <w:sz w:val="22"/>
        </w:rPr>
        <w:t>Apr 23, 2026 (Q1 Call) — Recontracting at +$20/MWh Premium:</w:t>
      </w:r>
      <w:r>
        <w:rPr>
          <w:rFonts w:ascii="Calibri" w:hAnsi="Calibri"/>
          <w:color w:val="525866"/>
          <w:sz w:val="22"/>
        </w:rPr>
        <w:t xml:space="preserve"> NEE recontracted 600+ MW of existing assets in Q1 at ~$20/MWh above prior realized pricing, locking in 18-year average contract terms. </w:t>
      </w:r>
      <w:r>
        <w:rPr>
          <w:rFonts w:ascii="Calibri" w:hAnsi="Calibri"/>
          <w:b/>
          <w:color w:val="525866"/>
          <w:sz w:val="22"/>
        </w:rPr>
        <w:t>Implication:</w:t>
      </w:r>
      <w:r>
        <w:rPr>
          <w:rFonts w:ascii="Calibri" w:hAnsi="Calibri"/>
          <w:color w:val="525866"/>
          <w:sz w:val="22"/>
        </w:rPr>
        <w:t xml:space="preserve"> Validates recontracting as a near-term earnings contributor; watch for Q2 update on volume and pricing.</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 xml:space="preserve">Peer Q1 2026 earnings calls (reported April–May 2026) and the Entergy June 2026 Investor Day provide a </w:t>
      </w:r>
      <w:r>
        <w:rPr>
          <w:rFonts w:ascii="Calibri" w:hAnsi="Calibri"/>
          <w:b/>
          <w:color w:val="525866"/>
          <w:sz w:val="22"/>
        </w:rPr>
        <w:t>uniformly bullish read-through</w:t>
      </w:r>
      <w:r>
        <w:rPr>
          <w:rFonts w:ascii="Calibri" w:hAnsi="Calibri"/>
          <w:color w:val="525866"/>
          <w:sz w:val="22"/>
        </w:rPr>
        <w:t xml:space="preserve"> for NEE’s Q2 2026 print — every major utility reported accelerating large load demand, expanding data center pipelines, and reaffirmed or raised long-term EPS growth targets, all of which validate NEE’s core thesis. The most relevant read-throughs are on </w:t>
      </w:r>
      <w:r>
        <w:rPr>
          <w:rFonts w:ascii="Calibri" w:hAnsi="Calibri"/>
          <w:b/>
          <w:color w:val="525866"/>
          <w:sz w:val="22"/>
        </w:rPr>
        <w:t>data center demand durability, gas generation supply chain, and recontracting pricing</w:t>
      </w:r>
      <w:r>
        <w:rPr>
          <w:rFonts w:ascii="Calibri" w:hAnsi="Calibri"/>
          <w:color w:val="525866"/>
          <w:sz w:val="22"/>
        </w:rPr>
        <w:t>.</w:t>
      </w:r>
    </w:p>
    <w:p>
      <w:r>
        <w:rPr>
          <w:rFonts w:ascii="Calibri" w:hAnsi="Calibri"/>
          <w:i/>
          <w:color w:val="525866"/>
          <w:sz w:val="22"/>
        </w:rPr>
        <w:t xml:space="preserve">Note: </w:t>
      </w:r>
      <w:r>
        <w:rPr>
          <w:rFonts w:ascii="Calibri" w:hAnsi="Calibri"/>
          <w:i/>
          <w:color w:val="525866"/>
          <w:sz w:val="22"/>
        </w:rPr>
        <w:t>All peer commentaries below are from Q1 2026 earnings calls (reported April–May 2026) or the Entergy June 2026 Investor Day — all post-NEE’s last earnings (April 23, 2026) and covering the current reporting environment. No prior-quarter results commentary is included.</w:t>
      </w:r>
    </w:p>
    <w:p>
      <w:pPr>
        <w:pStyle w:val="Heading3"/>
      </w:pPr>
      <w:r>
        <w:rPr>
          <w:rFonts w:ascii="Calibri" w:hAnsi="Calibri"/>
          <w:b/>
          <w:color w:val="3B4259"/>
          <w:sz w:val="24"/>
        </w:rPr>
        <w:t>Duke Energy (DUK) — Q1 2026 Earnings Call (May 5, 2026)</w:t>
      </w:r>
    </w:p>
    <w:p>
      <w:r>
        <w:rPr>
          <w:rFonts w:ascii="Calibri" w:hAnsi="Calibri"/>
          <w:b/>
          <w:color w:val="525866"/>
          <w:sz w:val="22"/>
        </w:rPr>
        <w:t xml:space="preserve">Read-Through Signal: </w:t>
      </w:r>
      <w:r>
        <w:rPr>
          <w:rFonts w:ascii="Calibri" w:hAnsi="Calibri"/>
          <w:color w:val="525866"/>
          <w:sz w:val="22"/>
        </w:rPr>
        <w:t>Positive for NEE’s NEER data center origination and gas generation thesis.</w:t>
      </w:r>
    </w:p>
    <w:p>
      <w:pPr>
        <w:pStyle w:val="ListBullet"/>
        <w:ind w:left="360" w:hanging="360"/>
      </w:pPr>
      <w:r>
        <w:rPr>
          <w:rFonts w:ascii="Calibri" w:hAnsi="Calibri"/>
          <w:b/>
          <w:color w:val="525866"/>
          <w:sz w:val="22"/>
        </w:rPr>
        <w:t xml:space="preserve">Data center ESA acceleration: </w:t>
      </w:r>
      <w:r>
        <w:rPr>
          <w:rFonts w:ascii="Calibri" w:hAnsi="Calibri"/>
          <w:color w:val="525866"/>
          <w:sz w:val="22"/>
        </w:rPr>
        <w:t xml:space="preserve">DUK signed an additional 2.7 GW of ESAs with data center customers since the Q4 call, bringing total executed agreements to ~7.6 GW, with nearly two-thirds already under construction. Late-stage, high-confidence pipeline now at 15.4 GW. </w:t>
      </w:r>
    </w:p>
    <w:p>
      <w:pPr>
        <w:pStyle w:val="ListBullet"/>
        <w:ind w:left="360" w:hanging="360"/>
      </w:pPr>
      <w:r>
        <w:rPr>
          <w:rFonts w:ascii="Calibri" w:hAnsi="Calibri"/>
          <w:b/>
          <w:color w:val="525866"/>
          <w:sz w:val="22"/>
        </w:rPr>
        <w:t xml:space="preserve">NEE read-through: </w:t>
      </w:r>
      <w:r>
        <w:rPr>
          <w:rFonts w:ascii="Calibri" w:hAnsi="Calibri"/>
          <w:color w:val="525866"/>
          <w:sz w:val="22"/>
        </w:rPr>
        <w:t>Validates the durability and acceleration of hyperscaler demand that underpins NEE’s 33 GW backlog and 15 GW by 2035 data center hub goal. DUK’s comment that customers “begin taking energy as early as the second half of 2027 and into 2028” aligns with NEE’s FPL large load tariff timeline.</w:t>
      </w:r>
    </w:p>
    <w:p>
      <w:pPr>
        <w:pStyle w:val="ListBullet"/>
        <w:ind w:left="360" w:hanging="360"/>
      </w:pPr>
      <w:r>
        <w:rPr>
          <w:rFonts w:ascii="Calibri" w:hAnsi="Calibri"/>
          <w:b/>
          <w:color w:val="525866"/>
          <w:sz w:val="22"/>
        </w:rPr>
        <w:t xml:space="preserve">Gas generation supply chain: </w:t>
      </w:r>
      <w:r>
        <w:rPr>
          <w:rFonts w:ascii="Calibri" w:hAnsi="Calibri"/>
          <w:color w:val="525866"/>
          <w:sz w:val="22"/>
        </w:rPr>
        <w:t>DUK has 5 GW under construction and 2.5 GW in development; signed EPC contracts for first three new gas facilities in the Carolinas using a “programmatic approach” with Zachry. Turbines for Person County CC expected in H2 2026.</w:t>
      </w:r>
    </w:p>
    <w:p>
      <w:pPr>
        <w:pStyle w:val="ListBullet"/>
        <w:ind w:left="360" w:hanging="360"/>
      </w:pPr>
      <w:r>
        <w:rPr>
          <w:rFonts w:ascii="Calibri" w:hAnsi="Calibri"/>
          <w:b/>
          <w:color w:val="525866"/>
          <w:sz w:val="22"/>
        </w:rPr>
        <w:t xml:space="preserve">NEE read-through: </w:t>
      </w:r>
      <w:r>
        <w:rPr>
          <w:rFonts w:ascii="Calibri" w:hAnsi="Calibri"/>
          <w:color w:val="525866"/>
          <w:sz w:val="22"/>
        </w:rPr>
        <w:t>Confirms EPC labor scarcity is real (consistent with NEE’s Q1 call commentary) but that companies with established EPC relationships (like NEE) have a structural advantage. DUK’s progress on gas build validates NEE’s supply chain positioning.</w:t>
      </w:r>
    </w:p>
    <w:p>
      <w:pPr>
        <w:pStyle w:val="ListBullet"/>
        <w:ind w:left="360" w:hanging="360"/>
      </w:pPr>
      <w:r>
        <w:rPr>
          <w:rFonts w:ascii="Calibri" w:hAnsi="Calibri"/>
          <w:b/>
          <w:color w:val="525866"/>
          <w:sz w:val="22"/>
        </w:rPr>
        <w:t xml:space="preserve">Vertically integrated utility advantage: </w:t>
      </w:r>
      <w:r>
        <w:rPr>
          <w:rFonts w:ascii="Calibri" w:hAnsi="Calibri"/>
          <w:color w:val="525866"/>
          <w:sz w:val="22"/>
        </w:rPr>
        <w:t>DUK explicitly cited being a “one-stop shop” for transmission and generation planning as a key competitive advantage with hyperscalers, noting “acceleration of interest” in its territories.</w:t>
      </w:r>
    </w:p>
    <w:p>
      <w:pPr>
        <w:pStyle w:val="ListBullet"/>
        <w:ind w:left="360" w:hanging="360"/>
      </w:pPr>
      <w:r>
        <w:rPr>
          <w:rFonts w:ascii="Calibri" w:hAnsi="Calibri"/>
          <w:b/>
          <w:color w:val="525866"/>
          <w:sz w:val="22"/>
        </w:rPr>
        <w:t xml:space="preserve">NEE read-through: </w:t>
      </w:r>
      <w:r>
        <w:rPr>
          <w:rFonts w:ascii="Calibri" w:hAnsi="Calibri"/>
          <w:color w:val="525866"/>
          <w:sz w:val="22"/>
        </w:rPr>
        <w:t>Directly validates NEE’s competitive moat argument; NEE’s multi-decade build experience and common platform are similarly positioned.</w:t>
      </w:r>
    </w:p>
    <w:p>
      <w:pPr>
        <w:pStyle w:val="Heading3"/>
      </w:pPr>
      <w:r>
        <w:rPr>
          <w:rFonts w:ascii="Calibri" w:hAnsi="Calibri"/>
          <w:b/>
          <w:color w:val="3B4259"/>
          <w:sz w:val="24"/>
        </w:rPr>
        <w:t>Xcel Energy (XEL) — Q1 2026 Earnings Call (April 30, 2026)</w:t>
      </w:r>
    </w:p>
    <w:p>
      <w:pPr>
        <w:pStyle w:val="Heading4"/>
      </w:pPr>
      <w:r>
        <w:rPr>
          <w:rFonts w:ascii="Calibri" w:hAnsi="Calibri"/>
          <w:b/>
          <w:color w:val="3B4259"/>
          <w:sz w:val="22"/>
        </w:rPr>
        <w:t>Read-Through Signal: Positive for NEE’s NEER origination and JDA strategy; directly references NEE.</w:t>
      </w:r>
    </w:p>
    <w:p>
      <w:pPr>
        <w:pStyle w:val="ListBullet"/>
        <w:ind w:left="360" w:hanging="360"/>
      </w:pPr>
      <w:r>
        <w:rPr>
          <w:rFonts w:ascii="Calibri" w:hAnsi="Calibri"/>
          <w:b/>
          <w:color w:val="525866"/>
          <w:sz w:val="22"/>
        </w:rPr>
        <w:t xml:space="preserve">NEE-XEL Joint Development Agreement (JDA) confirmed: </w:t>
      </w:r>
      <w:r>
        <w:rPr>
          <w:rFonts w:ascii="Calibri" w:hAnsi="Calibri"/>
          <w:color w:val="525866"/>
          <w:sz w:val="22"/>
        </w:rPr>
        <w:t>XEL reached a “definitive non-exclusive agreement” with NEE in April to co-develop generation, storage, and interconnections to accelerate data center development across XEL’s operating companies. XEL is “already underway developing solutions for 2 GW of new data center capacity” through this partnership, with plans to expand. The JDA is described as “unbounded” and could cover all generation needs for large loads.</w:t>
      </w:r>
    </w:p>
    <w:p>
      <w:pPr>
        <w:pStyle w:val="ListBullet"/>
        <w:ind w:left="360" w:hanging="360"/>
      </w:pPr>
      <w:r>
        <w:rPr>
          <w:rFonts w:ascii="Calibri" w:hAnsi="Calibri"/>
          <w:b/>
          <w:color w:val="525866"/>
          <w:sz w:val="22"/>
        </w:rPr>
        <w:t xml:space="preserve">NEE read-through: </w:t>
      </w:r>
      <w:r>
        <w:rPr>
          <w:rFonts w:ascii="Calibri" w:hAnsi="Calibri"/>
          <w:color w:val="525866"/>
          <w:sz w:val="22"/>
        </w:rPr>
        <w:t>This is a direct, named positive for NEE — the XEL JDA is one of NEE’s four origination channels for its 15 GW by 2035 data center goal. XEL expects 4 more GW contracted by end of 2027 inclusive of the 2 GW with NEE, and the JDA “could be larger than that.” This is incremental to NEE’s backlog and validates the IOU JDA channel.</w:t>
      </w:r>
    </w:p>
    <w:p>
      <w:pPr>
        <w:pStyle w:val="ListBullet"/>
        <w:ind w:left="360" w:hanging="360"/>
      </w:pPr>
      <w:r>
        <w:rPr>
          <w:rFonts w:ascii="Calibri" w:hAnsi="Calibri"/>
          <w:b/>
          <w:color w:val="525866"/>
          <w:sz w:val="22"/>
        </w:rPr>
        <w:t xml:space="preserve">Data center pipeline: </w:t>
      </w:r>
      <w:r>
        <w:rPr>
          <w:rFonts w:ascii="Calibri" w:hAnsi="Calibri"/>
          <w:color w:val="525866"/>
          <w:sz w:val="22"/>
        </w:rPr>
        <w:t>XEL has a “greater than 20 GW backlog” of interest across all 8 states; targeting 3 GW contracted by year-end 2026 and another 3 GW in 2027. Google ESA (nearly 1 GW) filed with Minnesota PUC; estimated to save customers $1B–$1.5B over the ESA term.</w:t>
      </w:r>
    </w:p>
    <w:p>
      <w:pPr>
        <w:pStyle w:val="ListBullet"/>
        <w:ind w:left="360" w:hanging="360"/>
      </w:pPr>
      <w:r>
        <w:rPr>
          <w:rFonts w:ascii="Calibri" w:hAnsi="Calibri"/>
          <w:b/>
          <w:color w:val="525866"/>
          <w:sz w:val="22"/>
        </w:rPr>
        <w:t xml:space="preserve">NEE read-through: </w:t>
      </w:r>
      <w:r>
        <w:rPr>
          <w:rFonts w:ascii="Calibri" w:hAnsi="Calibri"/>
          <w:color w:val="525866"/>
          <w:sz w:val="22"/>
        </w:rPr>
        <w:t>XEL’s $6B–$8B incremental investment per GW of data center load is consistent with NEE’s own capital intensity assumptions. The Google ESA structure (customer covers full cost, including 1,900 MW of new wind/solar/storage) is a template that validates NEE’s BYOG (Build Your Own Generation) approach.</w:t>
      </w:r>
    </w:p>
    <w:p>
      <w:pPr>
        <w:pStyle w:val="ListBullet"/>
        <w:ind w:left="360" w:hanging="360"/>
      </w:pPr>
      <w:r>
        <w:rPr>
          <w:rFonts w:ascii="Calibri" w:hAnsi="Calibri"/>
          <w:b/>
          <w:color w:val="525866"/>
          <w:sz w:val="22"/>
        </w:rPr>
        <w:t xml:space="preserve">Supply chain alliances: </w:t>
      </w:r>
      <w:r>
        <w:rPr>
          <w:rFonts w:ascii="Calibri" w:hAnsi="Calibri"/>
          <w:color w:val="525866"/>
          <w:sz w:val="22"/>
        </w:rPr>
        <w:t>XEL formed alliances with GE Vernova and NEE, and strategic agreements with Tier 1 EPC firms, to manage supply chain constraints and labor availability.</w:t>
      </w:r>
    </w:p>
    <w:p>
      <w:pPr>
        <w:pStyle w:val="ListBullet"/>
        <w:ind w:left="360" w:hanging="360"/>
      </w:pPr>
      <w:r>
        <w:rPr>
          <w:rFonts w:ascii="Calibri" w:hAnsi="Calibri"/>
          <w:b/>
          <w:color w:val="525866"/>
          <w:sz w:val="22"/>
        </w:rPr>
        <w:t xml:space="preserve">NEE read-through: </w:t>
      </w:r>
      <w:r>
        <w:rPr>
          <w:rFonts w:ascii="Calibri" w:hAnsi="Calibri"/>
          <w:color w:val="525866"/>
          <w:sz w:val="22"/>
        </w:rPr>
        <w:t>NEE is explicitly named as a supply chain partner for XEL, further validating NEE’s competitive positioning and creating a revenue stream from the partnership.</w:t>
      </w:r>
    </w:p>
    <w:p>
      <w:pPr>
        <w:pStyle w:val="Heading3"/>
      </w:pPr>
      <w:r>
        <w:rPr>
          <w:rFonts w:ascii="Calibri" w:hAnsi="Calibri"/>
          <w:b/>
          <w:color w:val="3B4259"/>
          <w:sz w:val="24"/>
        </w:rPr>
        <w:t>Southern Company (SO) — Q1 2026 Earnings Call (April 30, 2026)</w:t>
      </w:r>
    </w:p>
    <w:p>
      <w:pPr>
        <w:pStyle w:val="Heading4"/>
      </w:pPr>
      <w:r>
        <w:rPr>
          <w:rFonts w:ascii="Calibri" w:hAnsi="Calibri"/>
          <w:b/>
          <w:color w:val="3B4259"/>
          <w:sz w:val="22"/>
        </w:rPr>
        <w:t>Read-Through Signal: Positive for NEE’s data center demand thesis; validates load growth acceleration.</w:t>
      </w:r>
    </w:p>
    <w:p>
      <w:pPr>
        <w:pStyle w:val="ListBullet"/>
        <w:ind w:left="360" w:hanging="360"/>
      </w:pPr>
      <w:r>
        <w:rPr>
          <w:rFonts w:ascii="Calibri" w:hAnsi="Calibri"/>
          <w:b/>
          <w:color w:val="525866"/>
          <w:sz w:val="22"/>
        </w:rPr>
        <w:t xml:space="preserve">Data center usage up 42% YoY in Q1 2026: </w:t>
      </w:r>
      <w:r>
        <w:rPr>
          <w:rFonts w:ascii="Calibri" w:hAnsi="Calibri"/>
          <w:color w:val="525866"/>
          <w:sz w:val="22"/>
        </w:rPr>
        <w:t>SO reported data center usage increased 42% year-over-year in Q1 2026, “primarily due to accelerating usage ramps at large load facilities.” Total contracted or late-stage large load now at 23 GW; fully contracted agreements exceed 11 GW. Prospective pipeline “well over 75 GW.”</w:t>
      </w:r>
    </w:p>
    <w:p>
      <w:pPr>
        <w:pStyle w:val="ListBullet"/>
        <w:ind w:left="360" w:hanging="360"/>
      </w:pPr>
      <w:r>
        <w:rPr>
          <w:rFonts w:ascii="Calibri" w:hAnsi="Calibri"/>
          <w:b/>
          <w:color w:val="525866"/>
          <w:sz w:val="22"/>
        </w:rPr>
        <w:t xml:space="preserve">NEE read-through: </w:t>
      </w:r>
      <w:r>
        <w:rPr>
          <w:rFonts w:ascii="Calibri" w:hAnsi="Calibri"/>
          <w:color w:val="525866"/>
          <w:sz w:val="22"/>
        </w:rPr>
        <w:t>The 42% YoY data center usage growth is the strongest quantitative data point across all peers confirming that demand is not just contracted but actually ramping. This validates NEE’s recontracting pricing premium (+$20/MWh) and the urgency of the FPL large load tariff conversion.</w:t>
      </w:r>
    </w:p>
    <w:p>
      <w:pPr>
        <w:pStyle w:val="ListBullet"/>
        <w:ind w:left="360" w:hanging="360"/>
      </w:pPr>
      <w:r>
        <w:rPr>
          <w:rFonts w:ascii="Calibri" w:hAnsi="Calibri"/>
          <w:b/>
          <w:color w:val="525866"/>
          <w:sz w:val="22"/>
        </w:rPr>
        <w:t xml:space="preserve">Q2 2026 adj. EPS estimate: $1.00/share: </w:t>
      </w:r>
      <w:r>
        <w:rPr>
          <w:rFonts w:ascii="Calibri" w:hAnsi="Calibri"/>
          <w:color w:val="525866"/>
          <w:sz w:val="22"/>
        </w:rPr>
        <w:t>SO provided explicit Q2 2026 adj. EPS guidance of $1.00/share, noting Q1 came in $0.12 above its own estimate. Drivers: customer growth, data center usage ramps, gas utility revenues, and Southern Power energy revenues.</w:t>
      </w:r>
    </w:p>
    <w:p>
      <w:pPr>
        <w:pStyle w:val="ListBullet"/>
        <w:ind w:left="360" w:hanging="360"/>
      </w:pPr>
      <w:r>
        <w:rPr>
          <w:rFonts w:ascii="Calibri" w:hAnsi="Calibri"/>
          <w:b/>
          <w:color w:val="525866"/>
          <w:sz w:val="22"/>
        </w:rPr>
        <w:t xml:space="preserve">NEE read-through: </w:t>
      </w:r>
      <w:r>
        <w:rPr>
          <w:rFonts w:ascii="Calibri" w:hAnsi="Calibri"/>
          <w:color w:val="525866"/>
          <w:sz w:val="22"/>
        </w:rPr>
        <w:t>SO’s Q2 guidance implies continued strong utility earnings momentum in Q2 — a positive read-through for NEE’s FPL regulated earnings.</w:t>
      </w:r>
    </w:p>
    <w:p>
      <w:pPr>
        <w:pStyle w:val="ListBullet"/>
        <w:ind w:left="360" w:hanging="360"/>
      </w:pPr>
      <w:r>
        <w:rPr>
          <w:rFonts w:ascii="Calibri" w:hAnsi="Calibri"/>
          <w:b/>
          <w:color w:val="525866"/>
          <w:sz w:val="22"/>
        </w:rPr>
        <w:t xml:space="preserve">Large load contract structure: </w:t>
      </w:r>
      <w:r>
        <w:rPr>
          <w:rFonts w:ascii="Calibri" w:hAnsi="Calibri"/>
          <w:color w:val="525866"/>
          <w:sz w:val="22"/>
        </w:rPr>
        <w:t>SO emphasized that large load contracts are structured so customers “pay their full share” of costs, protecting existing customers and supporting rate stability through at least 2029 in Alabama and Georgia.</w:t>
      </w:r>
    </w:p>
    <w:p>
      <w:pPr>
        <w:pStyle w:val="ListBullet"/>
        <w:ind w:left="360" w:hanging="360"/>
      </w:pPr>
      <w:r>
        <w:rPr>
          <w:rFonts w:ascii="Calibri" w:hAnsi="Calibri"/>
          <w:b/>
          <w:color w:val="525866"/>
          <w:sz w:val="22"/>
        </w:rPr>
        <w:t xml:space="preserve">NEE read-through: </w:t>
      </w:r>
      <w:r>
        <w:rPr>
          <w:rFonts w:ascii="Calibri" w:hAnsi="Calibri"/>
          <w:color w:val="525866"/>
          <w:sz w:val="22"/>
        </w:rPr>
        <w:t>Validates NEE’s FPL large load tariff design philosophy; regulatory precedent from SO’s approved structures is supportive of FPL’s pending tariff approvals.</w:t>
      </w:r>
    </w:p>
    <w:p>
      <w:pPr>
        <w:pStyle w:val="Heading3"/>
      </w:pPr>
      <w:r>
        <w:rPr>
          <w:rFonts w:ascii="Calibri" w:hAnsi="Calibri"/>
          <w:b/>
          <w:color w:val="3B4259"/>
          <w:sz w:val="24"/>
        </w:rPr>
        <w:t>American Electric Power (AEP) — Q1 2026 Earnings Call (May 5, 2026)</w:t>
      </w:r>
    </w:p>
    <w:p>
      <w:pPr>
        <w:pStyle w:val="Heading4"/>
      </w:pPr>
      <w:r>
        <w:rPr>
          <w:rFonts w:ascii="Calibri" w:hAnsi="Calibri"/>
          <w:b/>
          <w:color w:val="3B4259"/>
          <w:sz w:val="22"/>
        </w:rPr>
        <w:t>Read-Through Signal: Positive for NEE’s data center demand thesis; mixed on gas generation supply chain.</w:t>
      </w:r>
    </w:p>
    <w:p>
      <w:pPr>
        <w:pStyle w:val="ListBullet"/>
        <w:ind w:left="360" w:hanging="360"/>
      </w:pPr>
      <w:r>
        <w:rPr>
          <w:rFonts w:ascii="Calibri" w:hAnsi="Calibri"/>
          <w:b/>
          <w:color w:val="525866"/>
          <w:sz w:val="22"/>
        </w:rPr>
        <w:t xml:space="preserve">63 GW of contracted incremental load by 2030 (up from 56 GW last quarter): </w:t>
      </w:r>
      <w:r>
        <w:rPr>
          <w:rFonts w:ascii="Calibri" w:hAnsi="Calibri"/>
          <w:color w:val="525866"/>
          <w:sz w:val="22"/>
        </w:rPr>
        <w:t>AEP contracted an additional 7 GW in Q1 2026, primarily from AEP Texas and AEP Ohio. Nearly 90% are data centers/hyperscalers. ERCOT contracted load alone reached 41 GW.</w:t>
      </w:r>
    </w:p>
    <w:p>
      <w:pPr>
        <w:pStyle w:val="ListBullet"/>
        <w:ind w:left="360" w:hanging="360"/>
      </w:pPr>
      <w:r>
        <w:rPr>
          <w:rFonts w:ascii="Calibri" w:hAnsi="Calibri"/>
          <w:b/>
          <w:color w:val="525866"/>
          <w:sz w:val="22"/>
        </w:rPr>
        <w:t xml:space="preserve">NEE read-through: </w:t>
      </w:r>
      <w:r>
        <w:rPr>
          <w:rFonts w:ascii="Calibri" w:hAnsi="Calibri"/>
          <w:color w:val="525866"/>
          <w:sz w:val="22"/>
        </w:rPr>
        <w:t>The scale and pace of AEP’s contracted load growth (7 GW in a single quarter) is the strongest peer signal that hyperscaler demand is real, durable, and accelerating — directly supportive of NEE’s 33 GW backlog and 15–30 GW data center hub targets.</w:t>
      </w:r>
    </w:p>
    <w:p>
      <w:pPr>
        <w:pStyle w:val="ListBullet"/>
        <w:ind w:left="360" w:hanging="360"/>
      </w:pPr>
      <w:r>
        <w:rPr>
          <w:rFonts w:ascii="Calibri" w:hAnsi="Calibri"/>
          <w:b/>
          <w:color w:val="525866"/>
          <w:sz w:val="22"/>
        </w:rPr>
        <w:t xml:space="preserve">Capital plan raised to $78B (from $72B): </w:t>
      </w:r>
      <w:r>
        <w:rPr>
          <w:rFonts w:ascii="Calibri" w:hAnsi="Calibri"/>
          <w:color w:val="525866"/>
          <w:sz w:val="22"/>
        </w:rPr>
        <w:t>AEP increased its 5-year capital plan by $6B, including $3.5B in PJM/SPP transmission and $2.5B for I&amp;M gas generation. Rate base CAGR now 11%. Long-term EPS CAGR raised to “greater than 9%.”</w:t>
      </w:r>
    </w:p>
    <w:p>
      <w:pPr>
        <w:pStyle w:val="ListBullet"/>
        <w:ind w:left="360" w:hanging="360"/>
      </w:pPr>
      <w:r>
        <w:rPr>
          <w:rFonts w:ascii="Calibri" w:hAnsi="Calibri"/>
          <w:b/>
          <w:color w:val="525866"/>
          <w:sz w:val="22"/>
        </w:rPr>
        <w:t xml:space="preserve">NEE read-through: </w:t>
      </w:r>
      <w:r>
        <w:rPr>
          <w:rFonts w:ascii="Calibri" w:hAnsi="Calibri"/>
          <w:color w:val="525866"/>
          <w:sz w:val="22"/>
        </w:rPr>
        <w:t>Industry-wide capital plan inflation validates NEE’s own elevated CapEx guidance ($12B–$13B FPL in 2026) and supports the thesis that supply chain and labor constraints will persist, benefiting NEE’s secured position.</w:t>
      </w:r>
    </w:p>
    <w:p>
      <w:pPr>
        <w:pStyle w:val="ListBullet"/>
        <w:ind w:left="360" w:hanging="360"/>
      </w:pPr>
      <w:r>
        <w:rPr>
          <w:rFonts w:ascii="Calibri" w:hAnsi="Calibri"/>
          <w:b/>
          <w:color w:val="525866"/>
          <w:sz w:val="22"/>
        </w:rPr>
        <w:t xml:space="preserve">PJM interconnection concerns: </w:t>
      </w:r>
      <w:r>
        <w:rPr>
          <w:rFonts w:ascii="Calibri" w:hAnsi="Calibri"/>
          <w:color w:val="525866"/>
          <w:sz w:val="22"/>
        </w:rPr>
        <w:t>AEP expressed “lack of confidence” that PJM interconnection issues will be resolved soon, and is evaluating all options including alternative structures to accelerate interconnections.</w:t>
      </w:r>
    </w:p>
    <w:p>
      <w:pPr>
        <w:pStyle w:val="ListBullet"/>
        <w:ind w:left="360" w:hanging="360"/>
      </w:pPr>
      <w:r>
        <w:rPr>
          <w:rFonts w:ascii="Calibri" w:hAnsi="Calibri"/>
          <w:b/>
          <w:color w:val="525866"/>
          <w:sz w:val="22"/>
        </w:rPr>
        <w:t xml:space="preserve">NEE read-through: </w:t>
      </w:r>
      <w:r>
        <w:rPr>
          <w:rFonts w:ascii="Calibri" w:hAnsi="Calibri"/>
          <w:color w:val="525866"/>
          <w:sz w:val="22"/>
        </w:rPr>
        <w:t>PJM interconnection delays are a potential headwind for NEE’s Pennsylvania US-Japan DOC project; however, NEE’s Texas project (ERCOT) is not subject to PJM constraints.</w:t>
      </w:r>
    </w:p>
    <w:p>
      <w:pPr>
        <w:pStyle w:val="Heading3"/>
      </w:pPr>
      <w:r>
        <w:rPr>
          <w:rFonts w:ascii="Calibri" w:hAnsi="Calibri"/>
          <w:b/>
          <w:color w:val="3B4259"/>
          <w:sz w:val="24"/>
        </w:rPr>
        <w:t>Dominion Energy (D) — Q1 2026 Earnings Call (May 1, 2026)</w:t>
      </w:r>
    </w:p>
    <w:p>
      <w:pPr>
        <w:pStyle w:val="Heading4"/>
      </w:pPr>
      <w:r>
        <w:rPr>
          <w:rFonts w:ascii="Calibri" w:hAnsi="Calibri"/>
          <w:b/>
          <w:color w:val="3B4259"/>
          <w:sz w:val="22"/>
        </w:rPr>
        <w:t>Read-Through Signal: Directly relevant given pending merger; validates Virginia data center demand.</w:t>
      </w:r>
    </w:p>
    <w:p>
      <w:pPr>
        <w:pStyle w:val="ListBullet"/>
        <w:ind w:left="360" w:hanging="360"/>
      </w:pPr>
      <w:r>
        <w:rPr>
          <w:rFonts w:ascii="Calibri" w:hAnsi="Calibri"/>
          <w:b/>
          <w:color w:val="525866"/>
          <w:sz w:val="22"/>
        </w:rPr>
        <w:t xml:space="preserve">Over 50 GW of data center capacity in various contracting stages; 10.4 GW already contracted: </w:t>
      </w:r>
      <w:r>
        <w:rPr>
          <w:rFonts w:ascii="Calibri" w:hAnsi="Calibri"/>
          <w:color w:val="525866"/>
          <w:sz w:val="22"/>
        </w:rPr>
        <w:t>Dominion reported “accelerating and durable demand” from data center customers, with “incredibly strong demand for new data centers in Virginia.” Added commitments in all stages since December; “that interest has not waned at all in recent months.”</w:t>
      </w:r>
    </w:p>
    <w:p>
      <w:pPr>
        <w:pStyle w:val="ListBullet"/>
        <w:ind w:left="360" w:hanging="360"/>
      </w:pPr>
      <w:r>
        <w:rPr>
          <w:rFonts w:ascii="Calibri" w:hAnsi="Calibri"/>
          <w:b/>
          <w:color w:val="525866"/>
          <w:sz w:val="22"/>
        </w:rPr>
        <w:t xml:space="preserve">NEE read-through: </w:t>
      </w:r>
      <w:r>
        <w:rPr>
          <w:rFonts w:ascii="Calibri" w:hAnsi="Calibri"/>
          <w:color w:val="525866"/>
          <w:sz w:val="22"/>
        </w:rPr>
        <w:t>Directly relevant as NEE is acquiring Dominion. Virginia’s data center demand (10.4 GW contracted, 50+ GW pipeline) represents a massive incremental growth opportunity for the combined entity that is not yet in NEE’s standalone numbers.</w:t>
      </w:r>
    </w:p>
    <w:p>
      <w:pPr>
        <w:pStyle w:val="ListBullet"/>
        <w:ind w:left="360" w:hanging="360"/>
      </w:pPr>
      <w:r>
        <w:rPr>
          <w:rFonts w:ascii="Calibri" w:hAnsi="Calibri"/>
          <w:b/>
          <w:color w:val="525866"/>
          <w:sz w:val="22"/>
        </w:rPr>
        <w:t xml:space="preserve">CVOW (Coastal Virginia Offshore Wind) now &gt;75% complete: </w:t>
      </w:r>
      <w:r>
        <w:rPr>
          <w:rFonts w:ascii="Calibri" w:hAnsi="Calibri"/>
          <w:color w:val="525866"/>
          <w:sz w:val="22"/>
        </w:rPr>
        <w:t>Project budget at $11.4B (~$100M lower than last update); majority of turbines expected in service by end of 2026. Projected $5B in fuel savings for customers over first 10 years.</w:t>
      </w:r>
    </w:p>
    <w:p>
      <w:pPr>
        <w:pStyle w:val="ListBullet"/>
        <w:ind w:left="360" w:hanging="360"/>
      </w:pPr>
      <w:r>
        <w:rPr>
          <w:rFonts w:ascii="Calibri" w:hAnsi="Calibri"/>
          <w:b/>
          <w:color w:val="525866"/>
          <w:sz w:val="22"/>
        </w:rPr>
        <w:t xml:space="preserve">NEE read-through: </w:t>
      </w:r>
      <w:r>
        <w:rPr>
          <w:rFonts w:ascii="Calibri" w:hAnsi="Calibri"/>
          <w:color w:val="525866"/>
          <w:sz w:val="22"/>
        </w:rPr>
        <w:t>CVOW completion de-risks a key asset in the pending merger; successful completion would be a positive for the combined entity’s credit profile and customer value proposition.</w:t>
      </w:r>
    </w:p>
    <w:p>
      <w:pPr>
        <w:pStyle w:val="ListBullet"/>
        <w:ind w:left="360" w:hanging="360"/>
      </w:pPr>
      <w:r>
        <w:rPr>
          <w:rFonts w:ascii="Calibri" w:hAnsi="Calibri"/>
          <w:b/>
          <w:color w:val="525866"/>
          <w:sz w:val="22"/>
        </w:rPr>
        <w:t xml:space="preserve">Affirmed 5%–7% EPS growth guidance; bias toward upper half from 2028: </w:t>
      </w:r>
      <w:r>
        <w:rPr>
          <w:rFonts w:ascii="Calibri" w:hAnsi="Calibri"/>
          <w:color w:val="525866"/>
          <w:sz w:val="22"/>
        </w:rPr>
        <w:t>Dominion reaffirmed all financial guidance, including operating earnings, credit, dividend, and long-term growth guidance.</w:t>
      </w:r>
    </w:p>
    <w:p>
      <w:pPr>
        <w:pStyle w:val="ListBullet"/>
        <w:ind w:left="360" w:hanging="360"/>
      </w:pPr>
      <w:r>
        <w:rPr>
          <w:rFonts w:ascii="Calibri" w:hAnsi="Calibri"/>
          <w:b/>
          <w:color w:val="525866"/>
          <w:sz w:val="22"/>
        </w:rPr>
        <w:t xml:space="preserve">NEE read-through: </w:t>
      </w:r>
      <w:r>
        <w:rPr>
          <w:rFonts w:ascii="Calibri" w:hAnsi="Calibri"/>
          <w:color w:val="525866"/>
          <w:sz w:val="22"/>
        </w:rPr>
        <w:t>Dominion’s standalone guidance stability reduces the risk of negative surprises in the merger target’s financials ahead of close.</w:t>
      </w:r>
    </w:p>
    <w:p>
      <w:pPr>
        <w:pStyle w:val="Heading3"/>
      </w:pPr>
      <w:r>
        <w:rPr>
          <w:rFonts w:ascii="Calibri" w:hAnsi="Calibri"/>
          <w:b/>
          <w:color w:val="3B4259"/>
          <w:sz w:val="24"/>
        </w:rPr>
        <w:t>Entergy (ETR) — Investor Day (June 9, 2026)</w:t>
      </w:r>
    </w:p>
    <w:p>
      <w:pPr>
        <w:pStyle w:val="Heading4"/>
      </w:pPr>
      <w:r>
        <w:rPr>
          <w:rFonts w:ascii="Calibri" w:hAnsi="Calibri"/>
          <w:b/>
          <w:color w:val="3B4259"/>
          <w:sz w:val="22"/>
        </w:rPr>
        <w:t>Read-Through Signal: Strongly positive for NEE’s data center demand thesis and long-term load growth outlook.</w:t>
      </w:r>
    </w:p>
    <w:p>
      <w:pPr>
        <w:pStyle w:val="ListBullet"/>
        <w:ind w:left="360" w:hanging="360"/>
      </w:pPr>
      <w:r>
        <w:rPr>
          <w:rFonts w:ascii="Calibri" w:hAnsi="Calibri"/>
          <w:b/>
          <w:color w:val="525866"/>
          <w:sz w:val="22"/>
        </w:rPr>
        <w:t xml:space="preserve">Sales growth doubled to 9% in 2026; expects to more than double over next 5 years: </w:t>
      </w:r>
      <w:r>
        <w:rPr>
          <w:rFonts w:ascii="Calibri" w:hAnsi="Calibri"/>
          <w:color w:val="525866"/>
          <w:sz w:val="22"/>
        </w:rPr>
        <w:t>ETR reported 128 TWh sold in 2026, a “better than 50% increase in just a few years.” ESA backlog has “nearly doubled” in two years. 24-month ESA outlook: 7–12 GW for data centers and 3–5 GW for other industries. Rate base expected to reach $97B by 2030 (16% CAGR from 2025 — “highest rate base growth in the industry”).</w:t>
      </w:r>
    </w:p>
    <w:p>
      <w:pPr>
        <w:pStyle w:val="ListBullet"/>
        <w:ind w:left="360" w:hanging="360"/>
      </w:pPr>
      <w:r>
        <w:rPr>
          <w:rFonts w:ascii="Calibri" w:hAnsi="Calibri"/>
          <w:b/>
          <w:color w:val="525866"/>
          <w:sz w:val="22"/>
        </w:rPr>
        <w:t xml:space="preserve">NEE read-through: </w:t>
      </w:r>
      <w:r>
        <w:rPr>
          <w:rFonts w:ascii="Calibri" w:hAnsi="Calibri"/>
          <w:color w:val="525866"/>
          <w:sz w:val="22"/>
        </w:rPr>
        <w:t>ETR’s 16% rate base CAGR and &gt;8% EPS growth through 2035 are the most aggressive long-term targets in the sector, validating that the AI/data center demand wave is structural and multi-year. This is the most bullish peer read-through for NEE’s own 8%+ EPS CAGR and $90B–$100B FPL investment through 2032.</w:t>
      </w:r>
    </w:p>
    <w:p>
      <w:pPr>
        <w:pStyle w:val="ListBullet"/>
        <w:ind w:left="360" w:hanging="360"/>
      </w:pPr>
      <w:r>
        <w:rPr>
          <w:rFonts w:ascii="Calibri" w:hAnsi="Calibri"/>
          <w:b/>
          <w:color w:val="525866"/>
          <w:sz w:val="22"/>
        </w:rPr>
        <w:t xml:space="preserve">AWS and Meta as anchor customers: </w:t>
      </w:r>
      <w:r>
        <w:rPr>
          <w:rFonts w:ascii="Calibri" w:hAnsi="Calibri"/>
          <w:color w:val="525866"/>
          <w:sz w:val="22"/>
        </w:rPr>
        <w:t>AWS highlighted ETR “energizes a substation before we’re done completely building out the data center — and that doesn’t happen around the country.” Meta’s Richland Parish project: 5 GW, 5,000 acres, $50B investment. Meta VP: “energy has become the critical feedstock into cloud and AI infrastructure.”</w:t>
      </w:r>
    </w:p>
    <w:p>
      <w:pPr>
        <w:pStyle w:val="ListBullet"/>
        <w:ind w:left="360" w:hanging="360"/>
      </w:pPr>
      <w:r>
        <w:rPr>
          <w:rFonts w:ascii="Calibri" w:hAnsi="Calibri"/>
          <w:b/>
          <w:color w:val="525866"/>
          <w:sz w:val="22"/>
        </w:rPr>
        <w:t xml:space="preserve">NEE read-through: </w:t>
      </w:r>
      <w:r>
        <w:rPr>
          <w:rFonts w:ascii="Calibri" w:hAnsi="Calibri"/>
          <w:color w:val="525866"/>
          <w:sz w:val="22"/>
        </w:rPr>
        <w:t>Hyperscaler commentary confirms that “speed to power” and utility partnership quality are the primary selection criteria — directly validating NEE’s competitive positioning and its FPL large load tariff design.</w:t>
      </w:r>
    </w:p>
    <w:p>
      <w:pPr>
        <w:pStyle w:val="ListBullet"/>
        <w:ind w:left="360" w:hanging="360"/>
      </w:pPr>
      <w:r>
        <w:rPr>
          <w:rFonts w:ascii="Calibri" w:hAnsi="Calibri"/>
          <w:b/>
          <w:color w:val="525866"/>
          <w:sz w:val="22"/>
        </w:rPr>
        <w:t xml:space="preserve">ETR targets &gt;8% EPS growth through 2035: </w:t>
      </w:r>
      <w:r>
        <w:rPr>
          <w:rFonts w:ascii="Calibri" w:hAnsi="Calibri"/>
          <w:color w:val="525866"/>
          <w:sz w:val="22"/>
        </w:rPr>
        <w:t>ETR guided for “greater than 8% growth throughout the forecast period through 2030” with “double digit” underlying growth rate, and “greater than 8% growth in the base case through at least 2035.”</w:t>
      </w:r>
    </w:p>
    <w:p>
      <w:pPr>
        <w:pStyle w:val="ListBullet"/>
        <w:ind w:left="360" w:hanging="360"/>
      </w:pPr>
      <w:r>
        <w:rPr>
          <w:rFonts w:ascii="Calibri" w:hAnsi="Calibri"/>
          <w:b/>
          <w:color w:val="525866"/>
          <w:sz w:val="22"/>
        </w:rPr>
        <w:t xml:space="preserve">NEE read-through: </w:t>
      </w:r>
      <w:r>
        <w:rPr>
          <w:rFonts w:ascii="Calibri" w:hAnsi="Calibri"/>
          <w:color w:val="525866"/>
          <w:sz w:val="22"/>
        </w:rPr>
        <w:t>Sector-wide long-term EPS growth targets are converging at 8%+, validating NEE’s own 8%+ CAGR target and the combined NEE+D 9%+ target as credible and achievable.</w:t>
      </w:r>
    </w:p>
    <w:p>
      <w:pPr>
        <w:pStyle w:val="Heading3"/>
      </w:pPr>
      <w:r>
        <w:rPr>
          <w:rFonts w:ascii="Calibri" w:hAnsi="Calibri"/>
          <w:b/>
          <w:color w:val="3B4259"/>
          <w:sz w:val="24"/>
        </w:rPr>
        <w:t>PG&amp;E (PCG) — Q2 2026 Earnings Call (July 23, 2026)</w:t>
      </w:r>
    </w:p>
    <w:p>
      <w:pPr>
        <w:pStyle w:val="Heading4"/>
      </w:pPr>
      <w:r>
        <w:rPr>
          <w:rFonts w:ascii="Calibri" w:hAnsi="Calibri"/>
          <w:b/>
          <w:color w:val="3B4259"/>
          <w:sz w:val="22"/>
        </w:rPr>
        <w:t>Read-Through Signal: Positive for NEE’s data center pipeline thesis; confirms Q2 2026 utility earnings momentum.</w:t>
      </w:r>
    </w:p>
    <w:p>
      <w:pPr>
        <w:pStyle w:val="ListBullet"/>
        <w:ind w:left="360" w:hanging="360"/>
      </w:pPr>
      <w:r>
        <w:rPr>
          <w:rFonts w:ascii="Calibri" w:hAnsi="Calibri"/>
          <w:b/>
          <w:color w:val="525866"/>
          <w:sz w:val="22"/>
        </w:rPr>
        <w:t xml:space="preserve">Data center pipeline now exceeds 12 GW (up from 10+ GW): </w:t>
      </w:r>
      <w:r>
        <w:rPr>
          <w:rFonts w:ascii="Calibri" w:hAnsi="Calibri"/>
          <w:color w:val="525866"/>
          <w:sz w:val="22"/>
        </w:rPr>
        <w:t>PCG updated its pipeline this quarter incorporating new projects from its 2026 cluster study. Pipeline now totals over 12 GW. PCG raised inclusion thresholds for quality control; projects in final engineering require an assigned Work Performance Agreement (WPA) and ~10% upfront financial commitment.</w:t>
      </w:r>
    </w:p>
    <w:p>
      <w:pPr>
        <w:pStyle w:val="ListBullet"/>
        <w:ind w:left="360" w:hanging="360"/>
      </w:pPr>
      <w:r>
        <w:rPr>
          <w:rFonts w:ascii="Calibri" w:hAnsi="Calibri"/>
          <w:b/>
          <w:color w:val="525866"/>
          <w:sz w:val="22"/>
        </w:rPr>
        <w:t xml:space="preserve">NEE read-through: </w:t>
      </w:r>
      <w:r>
        <w:rPr>
          <w:rFonts w:ascii="Calibri" w:hAnsi="Calibri"/>
          <w:color w:val="525866"/>
          <w:sz w:val="22"/>
        </w:rPr>
        <w:t>PCG’s pipeline expansion to 12 GW confirms that data center demand is continuing to grow into Q2 2026 — a same-quarter read-through that is directly relevant to NEE’s Q2 origination update. The WPA/financial commitment structure is analogous to NEE’s own backlog qualification criteria.</w:t>
      </w:r>
    </w:p>
    <w:p>
      <w:pPr>
        <w:pStyle w:val="ListBullet"/>
        <w:ind w:left="360" w:hanging="360"/>
      </w:pPr>
      <w:r>
        <w:rPr>
          <w:rFonts w:ascii="Calibri" w:hAnsi="Calibri"/>
          <w:b/>
          <w:color w:val="525866"/>
          <w:sz w:val="22"/>
        </w:rPr>
        <w:t xml:space="preserve">Q2 2026 core EPS of $0.40; H1 2026 core EPS of $0.83 (+$0.19 YoY): </w:t>
      </w:r>
      <w:r>
        <w:rPr>
          <w:rFonts w:ascii="Calibri" w:hAnsi="Calibri"/>
          <w:color w:val="525866"/>
          <w:sz w:val="22"/>
        </w:rPr>
        <w:t>PCG reaffirmed full-year 2026 core EPS guidance of $1.64–$1.66 (midpoint +10% vs. 2025). On track for fifth consecutive year of double-digit earnings growth.</w:t>
      </w:r>
    </w:p>
    <w:p>
      <w:pPr>
        <w:pStyle w:val="ListBullet"/>
        <w:ind w:left="360" w:hanging="360"/>
      </w:pPr>
      <w:r>
        <w:rPr>
          <w:rFonts w:ascii="Calibri" w:hAnsi="Calibri"/>
          <w:b/>
          <w:color w:val="525866"/>
          <w:sz w:val="22"/>
        </w:rPr>
        <w:t xml:space="preserve">NEE read-through: </w:t>
      </w:r>
      <w:r>
        <w:rPr>
          <w:rFonts w:ascii="Calibri" w:hAnsi="Calibri"/>
          <w:color w:val="525866"/>
          <w:sz w:val="22"/>
        </w:rPr>
        <w:t>PCG’s Q2 2026 beat and guidance reaffirmation is a positive same-quarter read-through for utility sector earnings quality heading into NEE’s print tomorrow.</w:t>
      </w:r>
    </w:p>
    <w:p>
      <w:pPr>
        <w:pStyle w:val="ListBullet"/>
        <w:ind w:left="360" w:hanging="360"/>
      </w:pPr>
      <w:r>
        <w:rPr>
          <w:rFonts w:ascii="Calibri" w:hAnsi="Calibri"/>
          <w:b/>
          <w:color w:val="525866"/>
          <w:sz w:val="22"/>
        </w:rPr>
        <w:t xml:space="preserve">FERC order to show cause on large load pricing: </w:t>
      </w:r>
      <w:r>
        <w:rPr>
          <w:rFonts w:ascii="Calibri" w:hAnsi="Calibri"/>
          <w:color w:val="525866"/>
          <w:sz w:val="22"/>
        </w:rPr>
        <w:t>PCG views FERC’s recent order to show cause as “a positive development” and is collaborating with CAISO to respond. Objective: “clear, transparent, and durable frameworks for new large load customers.”</w:t>
      </w:r>
    </w:p>
    <w:p>
      <w:pPr>
        <w:pStyle w:val="ListBullet"/>
        <w:ind w:left="360" w:hanging="360"/>
      </w:pPr>
      <w:r>
        <w:rPr>
          <w:rFonts w:ascii="Calibri" w:hAnsi="Calibri"/>
          <w:b/>
          <w:color w:val="525866"/>
          <w:sz w:val="22"/>
        </w:rPr>
        <w:t xml:space="preserve">NEE read-through: </w:t>
      </w:r>
      <w:r>
        <w:rPr>
          <w:rFonts w:ascii="Calibri" w:hAnsi="Calibri"/>
          <w:color w:val="525866"/>
          <w:sz w:val="22"/>
        </w:rPr>
        <w:t>Federal regulatory clarity on large load pricing frameworks would be a positive for NEE’s FPL large load tariff and NEER data center hub strategy.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senior executives since the Q1 2026 earnings call. The only Form 4 activity consists of </w:t>
      </w:r>
      <w:r>
        <w:rPr>
          <w:rFonts w:ascii="Calibri" w:hAnsi="Calibri"/>
          <w:b/>
          <w:color w:val="525866"/>
          <w:sz w:val="22"/>
        </w:rPr>
        <w:t>routine phantom stock unit awards to directors</w:t>
      </w:r>
      <w:r>
        <w:rPr>
          <w:rFonts w:ascii="Calibri" w:hAnsi="Calibri"/>
          <w:color w:val="525866"/>
          <w:sz w:val="22"/>
        </w:rPr>
        <w:t xml:space="preserve"> (transaction code “A” — grants, not purchases) and one tax-withholding share disposition by the new FPL CEO. </w:t>
      </w:r>
      <w:r>
        <w:rPr>
          <w:rFonts w:ascii="Calibri" w:hAnsi="Calibri"/>
          <w:b/>
          <w:color w:val="525866"/>
          <w:sz w:val="22"/>
        </w:rPr>
        <w:t>Nothing notable to flag</w:t>
      </w:r>
      <w:r>
        <w:rPr>
          <w:rFonts w:ascii="Calibri" w:hAnsi="Calibri"/>
          <w:color w:val="525866"/>
          <w:sz w:val="22"/>
        </w:rPr>
        <w:t xml:space="preserve"> — the absence of open-market buying by insiders at current prices (~$89, well below the post-Q1 high of $96.25) is worth noting but is not unusual given the pending merger blackout considerations.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Units /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Arnaboldi Nicole S</w:t>
            </w:r>
          </w:p>
        </w:tc>
        <w:tc>
          <w:tcPr>
            <w:tcW w:type="dxa" w:w="1234"/>
          </w:tcPr>
          <w:p>
            <w:r>
              <w:rPr>
                <w:rFonts w:ascii="Calibri" w:hAnsi="Calibri"/>
                <w:sz w:val="22"/>
              </w:rPr>
              <w:t>Director</w:t>
            </w:r>
          </w:p>
        </w:tc>
        <w:tc>
          <w:tcPr>
            <w:tcW w:type="dxa" w:w="1234"/>
          </w:tcPr>
          <w:p>
            <w:r>
              <w:rPr>
                <w:rFonts w:ascii="Calibri" w:hAnsi="Calibri"/>
                <w:sz w:val="22"/>
              </w:rPr>
              <w:t>Award (Code A)</w:t>
            </w:r>
          </w:p>
        </w:tc>
        <w:tc>
          <w:tcPr>
            <w:tcW w:type="dxa" w:w="1234"/>
          </w:tcPr>
          <w:p>
            <w:r>
              <w:rPr>
                <w:rFonts w:ascii="Calibri" w:hAnsi="Calibri"/>
                <w:sz w:val="22"/>
              </w:rPr>
              <w:t>Phantom Stock Units</w:t>
            </w:r>
          </w:p>
        </w:tc>
        <w:tc>
          <w:tcPr>
            <w:tcW w:type="dxa" w:w="1234"/>
          </w:tcPr>
          <w:p>
            <w:r>
              <w:rPr>
                <w:rFonts w:ascii="Calibri" w:hAnsi="Calibri"/>
                <w:sz w:val="22"/>
              </w:rPr>
              <w:t>409 units</w:t>
            </w:r>
          </w:p>
        </w:tc>
        <w:tc>
          <w:tcPr>
            <w:tcW w:type="dxa" w:w="1234"/>
          </w:tcPr>
          <w:p>
            <w:r>
              <w:rPr>
                <w:rFonts w:ascii="Calibri" w:hAnsi="Calibri"/>
                <w:sz w:val="22"/>
              </w:rPr>
              <w:t>Jul 7, 2026</w:t>
            </w:r>
          </w:p>
        </w:tc>
        <w:tc>
          <w:tcPr>
            <w:tcW w:type="dxa" w:w="1234"/>
          </w:tcPr>
          <w:p>
            <w:r>
              <w:rPr>
                <w:rFonts w:ascii="Calibri" w:hAnsi="Calibri"/>
                <w:sz w:val="22"/>
              </w:rPr>
              <w:t>Routine director compensation grant; not an open-market purchase</w:t>
            </w:r>
          </w:p>
        </w:tc>
      </w:tr>
      <w:tr>
        <w:tc>
          <w:tcPr>
            <w:tcW w:type="dxa" w:w="1234"/>
          </w:tcPr>
          <w:p>
            <w:r>
              <w:rPr>
                <w:rFonts w:ascii="Calibri" w:hAnsi="Calibri"/>
                <w:sz w:val="22"/>
              </w:rPr>
              <w:t>Arnaboldi Nicole S</w:t>
            </w:r>
          </w:p>
        </w:tc>
        <w:tc>
          <w:tcPr>
            <w:tcW w:type="dxa" w:w="1234"/>
          </w:tcPr>
          <w:p>
            <w:r>
              <w:rPr>
                <w:rFonts w:ascii="Calibri" w:hAnsi="Calibri"/>
                <w:sz w:val="22"/>
              </w:rPr>
              <w:t>Director</w:t>
            </w:r>
          </w:p>
        </w:tc>
        <w:tc>
          <w:tcPr>
            <w:tcW w:type="dxa" w:w="1234"/>
          </w:tcPr>
          <w:p>
            <w:r>
              <w:rPr>
                <w:rFonts w:ascii="Calibri" w:hAnsi="Calibri"/>
                <w:sz w:val="22"/>
              </w:rPr>
              <w:t>Award (Code A)</w:t>
            </w:r>
          </w:p>
        </w:tc>
        <w:tc>
          <w:tcPr>
            <w:tcW w:type="dxa" w:w="1234"/>
          </w:tcPr>
          <w:p>
            <w:r>
              <w:rPr>
                <w:rFonts w:ascii="Calibri" w:hAnsi="Calibri"/>
                <w:sz w:val="22"/>
              </w:rPr>
              <w:t>Phantom Stock Units</w:t>
            </w:r>
          </w:p>
        </w:tc>
        <w:tc>
          <w:tcPr>
            <w:tcW w:type="dxa" w:w="1234"/>
          </w:tcPr>
          <w:p>
            <w:r>
              <w:rPr>
                <w:rFonts w:ascii="Calibri" w:hAnsi="Calibri"/>
                <w:sz w:val="22"/>
              </w:rPr>
              <w:t>63 units</w:t>
            </w:r>
          </w:p>
        </w:tc>
        <w:tc>
          <w:tcPr>
            <w:tcW w:type="dxa" w:w="1234"/>
          </w:tcPr>
          <w:p>
            <w:r>
              <w:rPr>
                <w:rFonts w:ascii="Calibri" w:hAnsi="Calibri"/>
                <w:sz w:val="22"/>
              </w:rPr>
              <w:t>Jun 15, 2026</w:t>
            </w:r>
          </w:p>
        </w:tc>
        <w:tc>
          <w:tcPr>
            <w:tcW w:type="dxa" w:w="1234"/>
          </w:tcPr>
          <w:p>
            <w:r>
              <w:rPr>
                <w:rFonts w:ascii="Calibri" w:hAnsi="Calibri"/>
                <w:sz w:val="22"/>
              </w:rPr>
              <w:t>Routine director compensation grant</w:t>
            </w:r>
          </w:p>
        </w:tc>
      </w:tr>
      <w:tr>
        <w:tc>
          <w:tcPr>
            <w:tcW w:type="dxa" w:w="1234"/>
          </w:tcPr>
          <w:p>
            <w:r>
              <w:rPr>
                <w:rFonts w:ascii="Calibri" w:hAnsi="Calibri"/>
                <w:sz w:val="22"/>
              </w:rPr>
              <w:t>Camaren James Lawrence</w:t>
            </w:r>
          </w:p>
        </w:tc>
        <w:tc>
          <w:tcPr>
            <w:tcW w:type="dxa" w:w="1234"/>
          </w:tcPr>
          <w:p>
            <w:r>
              <w:rPr>
                <w:rFonts w:ascii="Calibri" w:hAnsi="Calibri"/>
                <w:sz w:val="22"/>
              </w:rPr>
              <w:t>Director</w:t>
            </w:r>
          </w:p>
        </w:tc>
        <w:tc>
          <w:tcPr>
            <w:tcW w:type="dxa" w:w="1234"/>
          </w:tcPr>
          <w:p>
            <w:r>
              <w:rPr>
                <w:rFonts w:ascii="Calibri" w:hAnsi="Calibri"/>
                <w:sz w:val="22"/>
              </w:rPr>
              <w:t>Award (Code A)</w:t>
            </w:r>
          </w:p>
        </w:tc>
        <w:tc>
          <w:tcPr>
            <w:tcW w:type="dxa" w:w="1234"/>
          </w:tcPr>
          <w:p>
            <w:r>
              <w:rPr>
                <w:rFonts w:ascii="Calibri" w:hAnsi="Calibri"/>
                <w:sz w:val="22"/>
              </w:rPr>
              <w:t>Phantom Stock Units</w:t>
            </w:r>
          </w:p>
        </w:tc>
        <w:tc>
          <w:tcPr>
            <w:tcW w:type="dxa" w:w="1234"/>
          </w:tcPr>
          <w:p>
            <w:r>
              <w:rPr>
                <w:rFonts w:ascii="Calibri" w:hAnsi="Calibri"/>
                <w:sz w:val="22"/>
              </w:rPr>
              <w:t>273 units</w:t>
            </w:r>
          </w:p>
        </w:tc>
        <w:tc>
          <w:tcPr>
            <w:tcW w:type="dxa" w:w="1234"/>
          </w:tcPr>
          <w:p>
            <w:r>
              <w:rPr>
                <w:rFonts w:ascii="Calibri" w:hAnsi="Calibri"/>
                <w:sz w:val="22"/>
              </w:rPr>
              <w:t>Jun 15, 2026</w:t>
            </w:r>
          </w:p>
        </w:tc>
        <w:tc>
          <w:tcPr>
            <w:tcW w:type="dxa" w:w="1234"/>
          </w:tcPr>
          <w:p>
            <w:r>
              <w:rPr>
                <w:rFonts w:ascii="Calibri" w:hAnsi="Calibri"/>
                <w:sz w:val="22"/>
              </w:rPr>
              <w:t>Routine director compensation grant</w:t>
            </w:r>
          </w:p>
        </w:tc>
      </w:tr>
      <w:tr>
        <w:tc>
          <w:tcPr>
            <w:tcW w:type="dxa" w:w="1234"/>
          </w:tcPr>
          <w:p>
            <w:r>
              <w:rPr>
                <w:rFonts w:ascii="Calibri" w:hAnsi="Calibri"/>
                <w:sz w:val="22"/>
              </w:rPr>
              <w:t>Porges David L</w:t>
            </w:r>
          </w:p>
        </w:tc>
        <w:tc>
          <w:tcPr>
            <w:tcW w:type="dxa" w:w="1234"/>
          </w:tcPr>
          <w:p>
            <w:r>
              <w:rPr>
                <w:rFonts w:ascii="Calibri" w:hAnsi="Calibri"/>
                <w:sz w:val="22"/>
              </w:rPr>
              <w:t>Director</w:t>
            </w:r>
          </w:p>
        </w:tc>
        <w:tc>
          <w:tcPr>
            <w:tcW w:type="dxa" w:w="1234"/>
          </w:tcPr>
          <w:p>
            <w:r>
              <w:rPr>
                <w:rFonts w:ascii="Calibri" w:hAnsi="Calibri"/>
                <w:sz w:val="22"/>
              </w:rPr>
              <w:t>Award (Code A)</w:t>
            </w:r>
          </w:p>
        </w:tc>
        <w:tc>
          <w:tcPr>
            <w:tcW w:type="dxa" w:w="1234"/>
          </w:tcPr>
          <w:p>
            <w:r>
              <w:rPr>
                <w:rFonts w:ascii="Calibri" w:hAnsi="Calibri"/>
                <w:sz w:val="22"/>
              </w:rPr>
              <w:t>Phantom Stock Units</w:t>
            </w:r>
          </w:p>
        </w:tc>
        <w:tc>
          <w:tcPr>
            <w:tcW w:type="dxa" w:w="1234"/>
          </w:tcPr>
          <w:p>
            <w:r>
              <w:rPr>
                <w:rFonts w:ascii="Calibri" w:hAnsi="Calibri"/>
                <w:sz w:val="22"/>
              </w:rPr>
              <w:t>52 units</w:t>
            </w:r>
          </w:p>
        </w:tc>
        <w:tc>
          <w:tcPr>
            <w:tcW w:type="dxa" w:w="1234"/>
          </w:tcPr>
          <w:p>
            <w:r>
              <w:rPr>
                <w:rFonts w:ascii="Calibri" w:hAnsi="Calibri"/>
                <w:sz w:val="22"/>
              </w:rPr>
              <w:t>Jun 15, 2026</w:t>
            </w:r>
          </w:p>
        </w:tc>
        <w:tc>
          <w:tcPr>
            <w:tcW w:type="dxa" w:w="1234"/>
          </w:tcPr>
          <w:p>
            <w:r>
              <w:rPr>
                <w:rFonts w:ascii="Calibri" w:hAnsi="Calibri"/>
                <w:sz w:val="22"/>
              </w:rPr>
              <w:t>Routine director compensation grant</w:t>
            </w:r>
          </w:p>
        </w:tc>
      </w:tr>
      <w:tr>
        <w:tc>
          <w:tcPr>
            <w:tcW w:type="dxa" w:w="1234"/>
          </w:tcPr>
          <w:p>
            <w:r>
              <w:rPr>
                <w:rFonts w:ascii="Calibri" w:hAnsi="Calibri"/>
                <w:sz w:val="22"/>
              </w:rPr>
              <w:t>Bolster Brian W</w:t>
            </w:r>
          </w:p>
        </w:tc>
        <w:tc>
          <w:tcPr>
            <w:tcW w:type="dxa" w:w="1234"/>
          </w:tcPr>
          <w:p>
            <w:r>
              <w:rPr>
                <w:rFonts w:ascii="Calibri" w:hAnsi="Calibri"/>
                <w:sz w:val="22"/>
              </w:rPr>
              <w:t>Pres. and CEO of Sub (FPL)</w:t>
            </w:r>
          </w:p>
        </w:tc>
        <w:tc>
          <w:tcPr>
            <w:tcW w:type="dxa" w:w="1234"/>
          </w:tcPr>
          <w:p>
            <w:r>
              <w:rPr>
                <w:rFonts w:ascii="Calibri" w:hAnsi="Calibri"/>
                <w:sz w:val="22"/>
              </w:rPr>
              <w:t>Tax Withholding Disposition (Code F)</w:t>
            </w:r>
          </w:p>
        </w:tc>
        <w:tc>
          <w:tcPr>
            <w:tcW w:type="dxa" w:w="1234"/>
          </w:tcPr>
          <w:p>
            <w:r>
              <w:rPr>
                <w:rFonts w:ascii="Calibri" w:hAnsi="Calibri"/>
                <w:sz w:val="22"/>
              </w:rPr>
              <w:t>Common Stock</w:t>
            </w:r>
          </w:p>
        </w:tc>
        <w:tc>
          <w:tcPr>
            <w:tcW w:type="dxa" w:w="1234"/>
          </w:tcPr>
          <w:p>
            <w:r>
              <w:rPr>
                <w:rFonts w:ascii="Calibri" w:hAnsi="Calibri"/>
                <w:sz w:val="22"/>
              </w:rPr>
              <w:t>1,251 shares</w:t>
            </w:r>
          </w:p>
        </w:tc>
        <w:tc>
          <w:tcPr>
            <w:tcW w:type="dxa" w:w="1234"/>
          </w:tcPr>
          <w:p>
            <w:r>
              <w:rPr>
                <w:rFonts w:ascii="Calibri" w:hAnsi="Calibri"/>
                <w:sz w:val="22"/>
              </w:rPr>
              <w:t>May 7, 2026</w:t>
            </w:r>
          </w:p>
        </w:tc>
        <w:tc>
          <w:tcPr>
            <w:tcW w:type="dxa" w:w="1234"/>
          </w:tcPr>
          <w:p>
            <w:r>
              <w:rPr>
                <w:rFonts w:ascii="Calibri" w:hAnsi="Calibri"/>
                <w:sz w:val="22"/>
              </w:rPr>
              <w:t>Shares withheld for tax obligation on vesting; not a discretionary open-market sale</w:t>
            </w:r>
          </w:p>
        </w:tc>
      </w:tr>
    </w:tbl>
    <w:p>
      <w:r>
        <w:rPr>
          <w:rFonts w:ascii="Calibri" w:hAnsi="Calibri"/>
          <w:i/>
          <w:color w:val="525866"/>
          <w:sz w:val="22"/>
        </w:rPr>
        <w:t xml:space="preserve">Source: Insider Transaction Data (SEC Form 4 filings). Open-market buys (Code P) and discretionary sells (Code S): </w:t>
      </w:r>
      <w:r>
        <w:rPr>
          <w:rFonts w:ascii="Calibri" w:hAnsi="Calibri"/>
          <w:b/>
          <w:i/>
          <w:color w:val="525866"/>
          <w:sz w:val="22"/>
        </w:rPr>
        <w:t>None reported in the period April 23 – July 23, 2026.</w:t>
      </w:r>
      <w:r>
        <w:rPr>
          <w:rFonts w:ascii="Calibri" w:hAnsi="Calibri"/>
          <w:i/>
          <w:color w:val="525866"/>
          <w:sz w:val="22"/>
        </w:rPr>
        <w:t xml:space="preserve"> All activity consists of routine director phantom stock unit awards (Code A) and one tax-withholding disposition (Code F) by the new FPL CEO upon vesting. No 10b5-1 plan initiations or terminations were filed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