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~$6.3B vs. cons $6.25B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Gold by-product AISC (cost; miss = higher)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620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z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1,600/oz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attributable gold production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~5.3 Moz vs. cons ~5.3 Moz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gold by-product AISC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680</m:t>
              </m:r>
              <m:r>
                <m:rPr>
                  <m:sty m:val="p"/>
                </m:rPr>
                <m:t>/</m:t>
              </m:r>
              <m:r>
                <m:t>o</m:t>
              </m:r>
              <m:r>
                <m:t>z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1,680/oz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capital return /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r</m:t>
              </m:r>
              <m:r>
                <m:t>c</m:t>
              </m:r>
              <m:r>
                <m:t>h</m:t>
              </m:r>
              <m:r>
                <m:t>a</m:t>
              </m:r>
              <m:r>
                <m:t>s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plus a reaffirmed 5.3 Moz /</w:t>
            </w:r>
            <w:r>
              <w:t xml:space="preserve"> 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680</m:t>
              </m:r>
              <m:r>
                <m:t>A</m:t>
              </m:r>
              <m:r>
                <m:t>I</m:t>
              </m:r>
              <m:r>
                <m:t>S</m:t>
              </m:r>
              <m:r>
                <m:t>C</m:t>
              </m:r>
              <m:r>
                <m:t>f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s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p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l</m:t>
              </m:r>
              <m:r>
                <m:t>e</m:t>
              </m:r>
              <m:r>
                <m:t>v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4,700 realized gold price that has since retraced to ~$4,050 spot. Out-period math is negative: lower spot pulls H2 estimates down even after a Q2 beat, Q2 is the designed 'trough' (higher costs, lower silver by-product credits, Ghana royalty, higher oil), and the stock already ran +7% (89.20-&gt;95.77) into the print. That combination fades most of the day-1 idiosyncratic gain back toward flat, with residual direction thereafter dominated by gold rather than the 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2026-07-23T01:11:55Z</dcterms:created>
  <dcterms:modified xsi:type="dcterms:W3CDTF">2026-07-23T01:11:55Z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