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c510957a1f8044ee8a2adfdb09e042adc8a5856"/>
    <w:p>
      <w:pPr>
        <w:pStyle w:val="Heading1"/>
      </w:pPr>
      <w:r>
        <w:t xml:space="preserve">Newmont Corporation (NEM) — Q2 2026 Earnings Preview</w:t>
      </w:r>
    </w:p>
    <w:p>
      <w:pPr>
        <w:pStyle w:val="FirstParagraph"/>
      </w:pPr>
      <w:r>
        <w:rPr>
          <w:b/>
          <w:bCs/>
        </w:rPr>
        <w:t xml:space="preserve">Reports: Thursday, July 23, 2026, after market close | Conference call: 5:30 p.m. ET</w:t>
      </w:r>
    </w:p>
    <w:p>
      <w:pPr>
        <w:pStyle w:val="BodyText"/>
      </w:pPr>
      <w:r>
        <w:t xml:space="preserve">Newmont, the world's largest gold miner, reports second-quarter results tomorrow following a first quarter that produced record free cash flow but was immediately overshadowed by a major operational disruption and one of the sharpest gold price reversals in years. Here's what matters heading into the print.</w:t>
      </w:r>
    </w:p>
    <w:p>
      <w:r>
        <w:pict>
          <v:rect style="width:0;height:1.5pt" o:hralign="center" o:hrstd="t" o:hr="t"/>
        </w:pict>
      </w:r>
    </w:p>
    <w:bookmarkStart w:id="9" w:name="X5041beef61d46fb26d302f6475b35cd7aa7a016"/>
    <w:p>
      <w:pPr>
        <w:pStyle w:val="Heading2"/>
      </w:pPr>
      <w:r>
        <w:t xml:space="preserve">1. The Setup: A Wild Two Quarters for Gold</w:t>
      </w:r>
    </w:p>
    <w:p>
      <w:pPr>
        <w:pStyle w:val="FirstParagraph"/>
      </w:pPr>
      <w:r>
        <w:t xml:space="preserve">Gold's 2026 has been a rollercoaster. The metal hit an all-time high of $5,608.35 per ounce in January 2026, then crashed into a bear market in June, tumbling more than 25% from record highs despite persistent inflation and Middle East conflict — factors that would historically be expected to support safe-haven demand. By mid-July, spot gold was trading closer to $4,010 per ounce as of July 20, 2026, well off the highs but still up substantially year-over-year. Research from the World Gold Council shows a clear east-west divergence underlying the pullback: Q2 saw the gold price recede significantly from the record highs achieved in the first quarter, with the gold price retreating to the $4,000 level in Q2 as the market experienced significant volatility, even as Asian physical demand (China, India, central banks) remained robust while Western ETF flows turned choppy.</w:t>
      </w:r>
    </w:p>
    <w:p>
      <w:pPr>
        <w:pStyle w:val="BodyText"/>
      </w:pPr>
      <w:r>
        <w:t xml:space="preserve">NEM shares have tracked this volatility almost tick-for-tick: the stock dropped 14.9% in June, according to S&amp;P Global Market Intelligence, erasing early-year momentum and leaving the stock up only about 10% in the first half of 2026. Our own pricing data shows NEM ran from ~$101 in early January to a 2026 high near $132 in late January, then ground down to the low $90s by mid-July before a modest bounce into the print (closing $95.77 on July 22). Estimate revisions ahead of the print have leaned negative: estimate revisions have turned more cautious, with more downward than upward adjustments for both EPS and revenue, even though Newmont has a strong record of beating estimates and analysts remain bullish overall.</w:t>
      </w:r>
    </w:p>
    <w:bookmarkEnd w:id="9"/>
    <w:bookmarkStart w:id="10" w:name="X07efc7dbae525b39ca40dbfe2f4ba6c0c477415"/>
    <w:p>
      <w:pPr>
        <w:pStyle w:val="Heading2"/>
      </w:pPr>
      <w:r>
        <w:t xml:space="preserve">2. What Q1 Told Us</w:t>
      </w:r>
    </w:p>
    <w:p>
      <w:pPr>
        <w:pStyle w:val="FirstParagraph"/>
      </w:pPr>
      <w:r>
        <w:t xml:space="preserve">Newmont's first quarter was a blowout on the financial line but showed early signs of the operational trough management has been guiding to all year. Newmont produced 1.301 million attributable gold ounces (down 10% sequentially and ~16% year-over-year), but benefited from a record $4,900/oz average realized gold price, favorable by-product silver and copper contributions, and disciplined cost control. The result: gold by-product AISC of just</w:t>
      </w:r>
      <w:r>
        <w:t xml:space="preserve"> </w:t>
      </w:r>
      <m:oMath>
        <m:r>
          <m:t>1</m:t>
        </m:r>
        <m:r>
          <m:rPr>
            <m:sty m:val="p"/>
          </m:rPr>
          <m:t>,</m:t>
        </m:r>
        <m:r>
          <m:t>029</m:t>
        </m:r>
        <m:r>
          <m:rPr>
            <m:sty m:val="p"/>
          </m:rPr>
          <m:t>/</m:t>
        </m:r>
        <m:r>
          <m:t>o</m:t>
        </m:r>
        <m:r>
          <m:t>z</m:t>
        </m:r>
        <m:r>
          <m:rPr>
            <m:sty m:val="p"/>
          </m:rPr>
          <m:t>(</m:t>
        </m:r>
        <m:r>
          <m:t>w</m:t>
        </m:r>
        <m:r>
          <m:t>e</m:t>
        </m:r>
        <m:r>
          <m:t>l</m:t>
        </m:r>
        <m:r>
          <m:t>l</m:t>
        </m:r>
        <m:r>
          <m:t>b</m:t>
        </m:r>
        <m:r>
          <m:t>e</m:t>
        </m:r>
        <m:r>
          <m:t>l</m:t>
        </m:r>
        <m:r>
          <m:t>o</m:t>
        </m:r>
        <m:r>
          <m:t>w</m:t>
        </m:r>
        <m:r>
          <m:t>t</m:t>
        </m:r>
        <m:r>
          <m:t>h</m:t>
        </m:r>
        <m:r>
          <m:t>e</m:t>
        </m:r>
        <m:r>
          <m:t> </m:t>
        </m:r>
      </m:oMath>
      <w:r>
        <w:t xml:space="preserve">1,680/oz full-year guide), adjusted EPS of $2.90, adjusted EBITDA of $5.2 billion, and an all-time-record $3.1 billion of quarterly free cash flow — even after roughly $1.3 billion of cash tax payments. The balance sheet ended the quarter with $8.8 billion of cash and a $3.2 billion net cash position.</w:t>
      </w:r>
    </w:p>
    <w:p>
      <w:pPr>
        <w:pStyle w:val="BodyText"/>
      </w:pPr>
      <w:r>
        <w:t xml:space="preserve">Capital returns were aggressive: Newmont fully exhausted its prior $6 billion buyback authorization (repurchasing $2.4 billion of stock since the Q4 call) and its board approved a fresh $6 billion program — the fourth authorization since February 2024 — on top of a steady $0.26/share quarterly dividend.</w:t>
      </w:r>
    </w:p>
    <w:bookmarkEnd w:id="10"/>
    <w:bookmarkStart w:id="11" w:name="X6fcf68a8983caaec4d01d5fc1324f90454eea77"/>
    <w:p>
      <w:pPr>
        <w:pStyle w:val="Heading2"/>
      </w:pPr>
      <w:r>
        <w:t xml:space="preserve">3. The Swing Factor: Cadia's Earthquake</w:t>
      </w:r>
    </w:p>
    <w:p>
      <w:pPr>
        <w:pStyle w:val="FirstParagraph"/>
      </w:pPr>
      <w:r>
        <w:t xml:space="preserve">The single biggest operational overhang for this print is the magnitude-4.5 earthquake that struck near Newmont's Cadia operation in Australia on April 14. Management said there were no injuries and no damage to tailings facilities or surface infrastructure, but underground rehabilitation was expected to take about five weeks, with a return to 80% operating capacity followed by full capacity by the end of Q2. Management explicitly flagged that "second quarter production at Cadia is expected to be lower due to a short gap in mill feed," with a return to normal levels only beginning in Q3. Investors should watch closely for confirmation that Cadia is fully back online and whether any incremental costs or delays emerged during the repair process.</w:t>
      </w:r>
    </w:p>
    <w:p>
      <w:pPr>
        <w:pStyle w:val="BodyText"/>
      </w:pPr>
      <w:r>
        <w:t xml:space="preserve">Layered on top of Cadia, management guided to Q2 production "slightly below" Q1 levels (roughly 23% of full-year production), with unit costs "notably higher than the first quarter" due to a ramp in sustaining capital spend (heavier at Brucejack, Red Chris, Cadia and Boddington), lower silver output at Peñasquito during an organic-carbon ore period, and cost pressure at Boddington, Tanami, Lihir and Peñasquito.</w:t>
      </w:r>
    </w:p>
    <w:bookmarkEnd w:id="11"/>
    <w:bookmarkStart w:id="12" w:name="X574af150b8f973a905f5b091e5af1f67f8b64a1"/>
    <w:p>
      <w:pPr>
        <w:pStyle w:val="Heading2"/>
      </w:pPr>
      <w:r>
        <w:t xml:space="preserve">4. Cost &amp; Margin Watch Items</w:t>
      </w:r>
    </w:p>
    <w:p>
      <w:pPr>
        <w:pStyle w:val="FirstParagraph"/>
      </w:pPr>
      <w:r>
        <w:t xml:space="preserve">Three specific cost items deserve attention on the call:</w:t>
      </w:r>
    </w:p>
    <w:p>
      <w:pPr>
        <w:pStyle w:val="Compact"/>
        <w:numPr>
          <w:ilvl w:val="0"/>
          <w:numId w:val="1001"/>
        </w:numPr>
      </w:pPr>
      <w:r>
        <w:rPr>
          <w:b/>
          <w:bCs/>
        </w:rPr>
        <w:t xml:space="preserve">Ghana fiscal changes</w:t>
      </w:r>
      <w:r>
        <w:t xml:space="preserve">: Ghana enacted a sliding gold royalty (5%-12%) and adjusted its Growth and Sustainability Levy, which Newmont estimated would add roughly</w:t>
      </w:r>
      <w:r>
        <w:t xml:space="preserve"> </w:t>
      </w:r>
      <m:oMath>
        <m:r>
          <m:t>185</m:t>
        </m:r>
        <m:r>
          <m:rPr>
            <m:sty m:val="p"/>
          </m:rPr>
          <m:t>/</m:t>
        </m:r>
        <m:r>
          <m:t>o</m:t>
        </m:r>
        <m:r>
          <m:t>z</m:t>
        </m:r>
        <m:r>
          <m:t>t</m:t>
        </m:r>
        <m:r>
          <m:t>o</m:t>
        </m:r>
        <m:r>
          <m:t>A</m:t>
        </m:r>
        <m:r>
          <m:t>I</m:t>
        </m:r>
        <m:r>
          <m:t>S</m:t>
        </m:r>
        <m:r>
          <m:t>C</m:t>
        </m:r>
        <m:r>
          <m:t>a</m:t>
        </m:r>
        <m:r>
          <m:t>t</m:t>
        </m:r>
        <m:r>
          <m:t>i</m:t>
        </m:r>
        <m:r>
          <m:t>t</m:t>
        </m:r>
        <m:r>
          <m:t>s</m:t>
        </m:r>
        <m:r>
          <m:t>G</m:t>
        </m:r>
        <m:r>
          <m:t>h</m:t>
        </m:r>
        <m:r>
          <m:t>a</m:t>
        </m:r>
        <m:r>
          <m:t>n</m:t>
        </m:r>
        <m:r>
          <m:t>a</m:t>
        </m:r>
        <m:r>
          <m:t>o</m:t>
        </m:r>
        <m:r>
          <m:t>p</m:t>
        </m:r>
        <m:r>
          <m:t>e</m:t>
        </m:r>
        <m:r>
          <m:t>r</m:t>
        </m:r>
        <m:r>
          <m:t>a</m:t>
        </m:r>
        <m:r>
          <m:t>t</m:t>
        </m:r>
        <m:r>
          <m:t>i</m:t>
        </m:r>
        <m:r>
          <m:t>o</m:t>
        </m:r>
        <m:r>
          <m:t>n</m:t>
        </m:r>
        <m:r>
          <m:t>s</m:t>
        </m:r>
        <m:r>
          <m:rPr>
            <m:sty m:val="p"/>
          </m:rPr>
          <m:t>(</m:t>
        </m:r>
        <m:r>
          <m:t> </m:t>
        </m:r>
      </m:oMath>
      <w:r>
        <w:t xml:space="preserve">25/oz company-wide) — not included in original guidance, to be offset via productivity initiatives. Separately, Ghana has reportedly pushed miners to shift more mining work to local contractors, a live issue management was still actively negotiating with the government as of the Q1 call.</w:t>
      </w:r>
    </w:p>
    <w:p>
      <w:pPr>
        <w:pStyle w:val="Compact"/>
        <w:numPr>
          <w:ilvl w:val="0"/>
          <w:numId w:val="1001"/>
        </w:numPr>
      </w:pPr>
      <w:r>
        <w:rPr>
          <w:b/>
          <w:bCs/>
        </w:rPr>
        <w:t xml:space="preserve">Energy/oil prices</w:t>
      </w:r>
      <w:r>
        <w:t xml:space="preserve">: Management flagged sensitivity of roughly $12/oz of AISC for every $10/bbl move in Brent (based on a $70/bbl planning assumption, with diesel ~6% of direct operating costs). This is newly relevant given the recent escalation in the Middle East — Brent crude has reportedly spiked toward $95/bbl amid renewed U.S.-Iran tensions — a potential fresh cost headwind versus the guidance baseline.</w:t>
      </w:r>
    </w:p>
    <w:p>
      <w:pPr>
        <w:pStyle w:val="Compact"/>
        <w:numPr>
          <w:ilvl w:val="0"/>
          <w:numId w:val="1001"/>
        </w:numPr>
      </w:pPr>
      <w:r>
        <w:rPr>
          <w:b/>
          <w:bCs/>
        </w:rPr>
        <w:t xml:space="preserve">Nevada Gold Mines / Barrick dispute</w:t>
      </w:r>
      <w:r>
        <w:t xml:space="preserve">: Newmont issued Barrick a formal notice of default in early 2026 alleging resource diversion from the Nevada Gold Mines joint venture toward Barrick's wholly-owned Fourmile project. As of the Q1 call, the process remained open-ended and iterative, with management declining to commit to a resolution timeline and acknowledging remedies could range from a negotiated fix to litigation. This dispute is notable because NGM has been flagged as accounting for a large share of Barrick's market value and complicates Barrick's planned North American asset spinoff — any update here (settlement, litigation escalation, or continued stalemate) is a key thing to listen for.</w:t>
      </w:r>
    </w:p>
    <w:bookmarkEnd w:id="12"/>
    <w:bookmarkStart w:id="13" w:name="Xb5ad0c2230724ad59de3ceedb8cb72bea15a657"/>
    <w:p>
      <w:pPr>
        <w:pStyle w:val="Heading2"/>
      </w:pPr>
      <w:r>
        <w:t xml:space="preserve">5. Consensus Expectations</w:t>
      </w:r>
    </w:p>
    <w:p>
      <w:pPr>
        <w:pStyle w:val="FirstParagraph"/>
      </w:pPr>
      <w:r>
        <w:t xml:space="preserve">Wall Street modeling has been somewhat inconsistent across data providers heading into the print, but converges around:</w:t>
      </w:r>
    </w:p>
    <w:p>
      <w:pPr>
        <w:pStyle w:val="Compact"/>
        <w:numPr>
          <w:ilvl w:val="0"/>
          <w:numId w:val="1002"/>
        </w:numPr>
      </w:pPr>
      <w:r>
        <w:rPr>
          <w:b/>
          <w:bCs/>
        </w:rPr>
        <w:t xml:space="preserve">EPS</w:t>
      </w:r>
      <w:r>
        <w:t xml:space="preserve">: consensus clustered mostly around</w:t>
      </w:r>
      <w:r>
        <w:t xml:space="preserve"> </w:t>
      </w:r>
      <m:oMath>
        <m:r>
          <m:t>1.98</m:t>
        </m:r>
        <m:r>
          <m:rPr>
            <m:sty m:val="p"/>
          </m:rPr>
          <m:t>–</m:t>
        </m:r>
      </m:oMath>
      <w:r>
        <w:t xml:space="preserve">2.20 per share (non-GAAP), implying roughly 39%-54% year-over-year growth depending on the source, against a $1.43/share result in Q2 2025.</w:t>
      </w:r>
    </w:p>
    <w:p>
      <w:pPr>
        <w:pStyle w:val="Compact"/>
        <w:numPr>
          <w:ilvl w:val="0"/>
          <w:numId w:val="1002"/>
        </w:numPr>
      </w:pPr>
      <w:r>
        <w:rPr>
          <w:b/>
          <w:bCs/>
        </w:rPr>
        <w:t xml:space="preserve">Revenue</w:t>
      </w:r>
      <w:r>
        <w:t xml:space="preserve">: consensus roughly</w:t>
      </w:r>
      <w:r>
        <w:t xml:space="preserve"> </w:t>
      </w:r>
      <m:oMath>
        <m:r>
          <m:t>6.19</m:t>
        </m:r>
        <m:r>
          <m:rPr>
            <m:sty m:val="p"/>
          </m:rPr>
          <m:t>–</m:t>
        </m:r>
      </m:oMath>
      <w:r>
        <w:t xml:space="preserve">6.31 billion, up ~16%-18% year-over-year.</w:t>
      </w:r>
    </w:p>
    <w:p>
      <w:pPr>
        <w:pStyle w:val="Compact"/>
        <w:numPr>
          <w:ilvl w:val="0"/>
          <w:numId w:val="1002"/>
        </w:numPr>
      </w:pPr>
      <w:r>
        <w:rPr>
          <w:b/>
          <w:bCs/>
        </w:rPr>
        <w:t xml:space="preserve">Average realized gold price</w:t>
      </w:r>
      <w:r>
        <w:t xml:space="preserve">: one sell-side estimate pegs Q2 at approximately $4,774/oz, a modest ~2.5% sequential decline from Q1's record $4,900/oz — still a substantial tailwind versus last year's $3,320/oz, even as spot prices fell sharply late in the quarter.</w:t>
      </w:r>
    </w:p>
    <w:p>
      <w:pPr>
        <w:pStyle w:val="Compact"/>
        <w:numPr>
          <w:ilvl w:val="0"/>
          <w:numId w:val="1002"/>
        </w:numPr>
      </w:pPr>
      <w:r>
        <w:t xml:space="preserve">Newmont has a strong beat history, having topped EPS estimates in seven of its last eight quarters, and it beat Q1 2026 EPS estimates by $0.68 with 45.9% year-over-year revenue growth.</w:t>
      </w:r>
    </w:p>
    <w:p>
      <w:pPr>
        <w:pStyle w:val="FirstParagraph"/>
      </w:pPr>
      <w:r>
        <w:t xml:space="preserve">Sentiment among sell-side analysts remains constructive: coverage is skewed heavily toward Buy/Strong Buy ratings, with average price targets in the</w:t>
      </w:r>
      <w:r>
        <w:t xml:space="preserve"> </w:t>
      </w:r>
      <m:oMath>
        <m:r>
          <m:t>136</m:t>
        </m:r>
        <m:r>
          <m:rPr>
            <m:sty m:val="p"/>
          </m:rPr>
          <m:t>–</m:t>
        </m:r>
      </m:oMath>
      <w:r>
        <w:t xml:space="preserve">143 range (some methodologies citing highs near $177), even as valuation has compressed — Newmont's trailing P/E of roughly 12.4x sits near its one-year low.</w:t>
      </w:r>
    </w:p>
    <w:bookmarkEnd w:id="13"/>
    <w:bookmarkStart w:id="14" w:name="X8cffab1c4ead6f34b1193c0035625789db358cd"/>
    <w:p>
      <w:pPr>
        <w:pStyle w:val="Heading2"/>
      </w:pPr>
      <w:r>
        <w:t xml:space="preserve">6. Full-Year Framing: This Is the "Trough Year"</w:t>
      </w:r>
    </w:p>
    <w:p>
      <w:pPr>
        <w:pStyle w:val="FirstParagraph"/>
      </w:pPr>
      <w:r>
        <w:t xml:space="preserve">Context that should temper reactions to any single-quarter production miss: management has been explicit that 2026 is a deliberate production trough (guided to ~5.26 million attributable ounces, down from 5.89 million in 2025) as Nevada Gold Mines, Pueblo Viejo and several managed sites transition through mine sequencing, with AISC guided up sharply to ~$1,680/oz from $1,358/oz in 2025. On the Q1 call, CEO Natascha Viljoen confirmed this framing directly, pointing to Lihir moving into higher-grade zones, new caves ramping at Cadia, Boddington pushbacks, Ahafo North's ramp-up, and Cerro Negro productivity work as the "early movers" that should drive production back toward 6 million ounces in 2027 and beyond. Watch for any commentary on multi-year guidance, given analysts have been pressing management to reinstate 3-year guidance.</w:t>
      </w:r>
    </w:p>
    <w:bookmarkEnd w:id="14"/>
    <w:bookmarkStart w:id="15" w:name="X7a1779dde66893915ed7226b4b5f3ac30665bde"/>
    <w:p>
      <w:pPr>
        <w:pStyle w:val="Heading2"/>
      </w:pPr>
      <w:r>
        <w:t xml:space="preserve">7. Capital Allocation: The Real Bull Case</w:t>
      </w:r>
    </w:p>
    <w:p>
      <w:pPr>
        <w:pStyle w:val="FirstParagraph"/>
      </w:pPr>
      <w:r>
        <w:t xml:space="preserve">Even with commodity-price and cost noise, Newmont's enhanced capital allocation framework (introduced in February 2026) has been the more durable story: sustaining capital and a fixed ~$1.1 billion/year dividend get funded first, followed by development capital, a $1 billion (+/- $2 billion) net cash target, and then ratable share buybacks. Management has now authorized four separate repurchase programs since February 2024 totaling $18 billion, and highlighted that free cash flow per share is already running about 6% higher than it would be absent the buyback program. With gold prices well above the $4,500/oz planning assumption embedded in 2026 guidance for most of H1, Newmont should still be generating outsized free cash flow even with a softer production quarter — the pace of Q2 buybacks and any dividend commentary will be a key read-through.</w:t>
      </w:r>
    </w:p>
    <w:bookmarkEnd w:id="15"/>
    <w:bookmarkStart w:id="16" w:name="X89f92ec48383142d53dfae51fdcc632f00092b8"/>
    <w:p>
      <w:pPr>
        <w:pStyle w:val="Heading2"/>
      </w:pPr>
      <w:r>
        <w:t xml:space="preserve">8. What to Watch on Tomorrow's Call</w:t>
      </w:r>
    </w:p>
    <w:p>
      <w:pPr>
        <w:pStyle w:val="Compact"/>
        <w:numPr>
          <w:ilvl w:val="0"/>
          <w:numId w:val="1003"/>
        </w:numPr>
      </w:pPr>
      <w:r>
        <w:rPr>
          <w:b/>
          <w:bCs/>
        </w:rPr>
        <w:t xml:space="preserve">Cadia</w:t>
      </w:r>
      <w:r>
        <w:t xml:space="preserve">: Is the operation fully back to normal capacity, and what was the total ounce/cost impact?</w:t>
      </w:r>
    </w:p>
    <w:p>
      <w:pPr>
        <w:pStyle w:val="Compact"/>
        <w:numPr>
          <w:ilvl w:val="0"/>
          <w:numId w:val="1003"/>
        </w:numPr>
      </w:pPr>
      <w:r>
        <w:rPr>
          <w:b/>
          <w:bCs/>
        </w:rPr>
        <w:t xml:space="preserve">AISC trajectory</w:t>
      </w:r>
      <w:r>
        <w:t xml:space="preserve">: Did costs step up as guided (weather, sustaining capital ramp, Ghana royalty, oil prices), or did productivity offset the increase again as it did in Q1?</w:t>
      </w:r>
    </w:p>
    <w:p>
      <w:pPr>
        <w:pStyle w:val="Compact"/>
        <w:numPr>
          <w:ilvl w:val="0"/>
          <w:numId w:val="1003"/>
        </w:numPr>
      </w:pPr>
      <w:r>
        <w:rPr>
          <w:b/>
          <w:bCs/>
        </w:rPr>
        <w:t xml:space="preserve">NGM/Barrick dispute</w:t>
      </w:r>
      <w:r>
        <w:t xml:space="preserve">: Any resolution, escalation, or timeline update on the notice of default?</w:t>
      </w:r>
    </w:p>
    <w:p>
      <w:pPr>
        <w:pStyle w:val="Compact"/>
        <w:numPr>
          <w:ilvl w:val="0"/>
          <w:numId w:val="1003"/>
        </w:numPr>
      </w:pPr>
      <w:r>
        <w:rPr>
          <w:b/>
          <w:bCs/>
        </w:rPr>
        <w:t xml:space="preserve">Buybacks</w:t>
      </w:r>
      <w:r>
        <w:t xml:space="preserve">: Pace of repurchases against the new $6 billion authorization, especially with NEM shares well off their highs.</w:t>
      </w:r>
    </w:p>
    <w:p>
      <w:pPr>
        <w:pStyle w:val="Compact"/>
        <w:numPr>
          <w:ilvl w:val="0"/>
          <w:numId w:val="1003"/>
        </w:numPr>
      </w:pPr>
      <w:r>
        <w:rPr>
          <w:b/>
          <w:bCs/>
        </w:rPr>
        <w:t xml:space="preserve">Gold price sensitivity/hedging commentary</w:t>
      </w:r>
      <w:r>
        <w:t xml:space="preserve">: How management is thinking about margins if spot gold stabilizes near $4,000/oz versus the $4,500/oz guidance assumption.</w:t>
      </w:r>
    </w:p>
    <w:p>
      <w:pPr>
        <w:pStyle w:val="Compact"/>
        <w:numPr>
          <w:ilvl w:val="0"/>
          <w:numId w:val="1003"/>
        </w:numPr>
      </w:pPr>
      <w:r>
        <w:rPr>
          <w:b/>
          <w:bCs/>
        </w:rPr>
        <w:t xml:space="preserve">2027 guidance framing</w:t>
      </w:r>
      <w:r>
        <w:t xml:space="preserve">: Any incremental detail on the post-trough production ramp.</w:t>
      </w:r>
    </w:p>
    <w:bookmarkEnd w:id="16"/>
    <w:bookmarkStart w:id="17" w:name="bottom-line"/>
    <w:p>
      <w:pPr>
        <w:pStyle w:val="Heading2"/>
      </w:pPr>
      <w:r>
        <w:t xml:space="preserve">Bottom Line</w:t>
      </w:r>
    </w:p>
    <w:p>
      <w:pPr>
        <w:pStyle w:val="FirstParagraph"/>
      </w:pPr>
      <w:r>
        <w:t xml:space="preserve">Newmont enters this print from a position of financial strength — record cash generation, a net cash balance sheet, and an unusually aggressive capital return program — but against a backdrop of a sharply cooling gold price, a self-guided production/cost trough, an unresolved joint-venture dispute with Barrick, and fresh input-cost risk from Middle East-driven oil prices. The stock's 2026 pattern (sharp January rally, brutal June drawdown) suggests the market is trading Newmont increasingly as a levered call on the gold price itself; a Q2 print that reassures on costs, confirms Cadia's recovery, and shows continued buyback discipline could stabilize sentiment, while any fresh cost surprise or NGM escalation would likely compound the recent de-rating.</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2026-07-23T01:22:18Z</dcterms:created>
  <dcterms:modified xsi:type="dcterms:W3CDTF">2026-07-23T01:22:18Z</dcterms:modified>
</cp:coreProperties>
</file>

<file path=docProps/custom.xml><?xml version="1.0" encoding="utf-8"?>
<Properties xmlns="http://schemas.openxmlformats.org/officeDocument/2006/custom-properties" xmlns:vt="http://schemas.openxmlformats.org/officeDocument/2006/docPropsVTypes"/>
</file>