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newmont-nem-q2-2026-earnings-preview"/>
    <w:p>
      <w:pPr>
        <w:pStyle w:val="Heading1"/>
      </w:pPr>
      <w:r>
        <w:t xml:space="preserve">Newmont (NEM) Q2 2026 Earnings Preview</w:t>
      </w:r>
    </w:p>
    <w:p>
      <w:pPr>
        <w:pStyle w:val="BlockText"/>
      </w:pPr>
      <w:r>
        <w:rPr>
          <w:b/>
          <w:bCs/>
        </w:rPr>
        <w:t xml:space="preserve">Timing note:</w:t>
      </w:r>
      <w:r>
        <w:t xml:space="preserve"> </w:t>
      </w:r>
      <w:r>
        <w:t xml:space="preserve">Newmont is scheduled to release Q2 results</w:t>
      </w:r>
      <w:r>
        <w:t xml:space="preserve"> </w:t>
      </w:r>
      <w:r>
        <w:rPr>
          <w:b/>
          <w:bCs/>
        </w:rPr>
        <w:t xml:space="preserve">after the market closes today, Thursday, July 23, 2026</w:t>
      </w:r>
      <w:r>
        <w:t xml:space="preserve">, followed by its conference call at</w:t>
      </w:r>
      <w:r>
        <w:t xml:space="preserve"> </w:t>
      </w:r>
      <w:r>
        <w:rPr>
          <w:b/>
          <w:bCs/>
        </w:rPr>
        <w:t xml:space="preserve">5:30 p.m. ET</w:t>
      </w:r>
      <w:r>
        <w:t xml:space="preserve">. The date is July 23—not tomorrow, based on the current date. (</w:t>
      </w:r>
      <w:hyperlink r:id="rId9">
        <w:r>
          <w:rPr>
            <w:rStyle w:val="Hyperlink"/>
          </w:rPr>
          <w:t xml:space="preserve">newmont.com</w:t>
        </w:r>
      </w:hyperlink>
      <w:r>
        <w:t xml:space="preserve">)</w:t>
      </w:r>
    </w:p>
    <w:bookmarkStart w:id="10" w:name="preview-in-one-sentence"/>
    <w:p>
      <w:pPr>
        <w:pStyle w:val="Heading2"/>
      </w:pPr>
      <w:r>
        <w:t xml:space="preserve">Preview in one sentence</w:t>
      </w:r>
    </w:p>
    <w:p>
      <w:pPr>
        <w:pStyle w:val="FirstParagraph"/>
      </w:pPr>
      <w:r>
        <w:t xml:space="preserve">Newmont should report another highly profitable quarter, but the key issue is not whether earnings grew year over year—it is whether management can keep full-year guidance intact while absorbing</w:t>
      </w:r>
      <w:r>
        <w:t xml:space="preserve"> </w:t>
      </w:r>
      <w:r>
        <w:rPr>
          <w:b/>
          <w:bCs/>
        </w:rPr>
        <w:t xml:space="preserve">lower production, sharply higher sequential costs and capital spending, Cadia disruption, and Ghana’s higher royalty burden</w:t>
      </w:r>
      <w:r>
        <w:t xml:space="preserve">.</w:t>
      </w:r>
    </w:p>
    <w:bookmarkEnd w:id="10"/>
    <w:bookmarkStart w:id="13" w:name="street-expectations"/>
    <w:p>
      <w:pPr>
        <w:pStyle w:val="Heading2"/>
      </w:pPr>
      <w:r>
        <w:t xml:space="preserve">Street expectations</w:t>
      </w:r>
    </w:p>
    <w:p>
      <w:pPr>
        <w:pStyle w:val="FirstParagraph"/>
      </w:pPr>
      <w:r>
        <w:t xml:space="preserve">Published estimates vary by provider, but the current range is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Q1 2026 actual</w:t>
            </w:r>
          </w:p>
        </w:tc>
        <w:tc>
          <w:tcPr/>
          <w:p>
            <w:pPr>
              <w:pStyle w:val="Compact"/>
              <w:jc w:val="right"/>
            </w:pPr>
            <w:r>
              <w:t xml:space="preserve">Q2 2025 actual</w:t>
            </w:r>
          </w:p>
        </w:tc>
      </w:tr>
      <w:tr>
        <w:tc>
          <w:tcPr/>
          <w:p>
            <w:pPr>
              <w:pStyle w:val="Compact"/>
            </w:pPr>
            <w:r>
              <w:t xml:space="preserve">Adjusted EPS</w:t>
            </w:r>
          </w:p>
        </w:tc>
        <w:tc>
          <w:tcPr/>
          <w:p>
            <w:pPr>
              <w:pStyle w:val="Compact"/>
              <w:jc w:val="right"/>
            </w:pPr>
            <m:oMath>
              <m:r>
                <m:t>2.00</m:t>
              </m:r>
              <m:r>
                <m:rPr>
                  <m:sty m:val="p"/>
                </m:rPr>
                <m:t>–</m:t>
              </m:r>
            </m:oMath>
            <w:r>
              <w:rPr>
                <w:b/>
                <w:bCs/>
              </w:rPr>
              <w:t xml:space="preserve">2.20</w:t>
            </w:r>
          </w:p>
        </w:tc>
        <w:tc>
          <w:tcPr/>
          <w:p>
            <w:pPr>
              <w:pStyle w:val="Compact"/>
              <w:jc w:val="right"/>
            </w:pPr>
            <w:r>
              <w:t xml:space="preserve">$2.90</w:t>
            </w:r>
          </w:p>
        </w:tc>
        <w:tc>
          <w:tcPr/>
          <w:p>
            <w:pPr>
              <w:pStyle w:val="Compact"/>
              <w:jc w:val="right"/>
            </w:pPr>
            <w:r>
              <w:t xml:space="preserve">$1.43</w:t>
            </w:r>
          </w:p>
        </w:tc>
      </w:tr>
      <w:tr>
        <w:tc>
          <w:tcPr/>
          <w:p>
            <w:pPr>
              <w:pStyle w:val="Compact"/>
            </w:pPr>
            <w:r>
              <w:t xml:space="preserve">Revenue</w:t>
            </w:r>
          </w:p>
        </w:tc>
        <w:tc>
          <w:tcPr/>
          <w:p>
            <w:pPr>
              <w:pStyle w:val="Compact"/>
              <w:jc w:val="right"/>
            </w:pPr>
            <m:oMath>
              <m:r>
                <m:t>6.2</m:t>
              </m:r>
              <m:r>
                <m:t>B</m:t>
              </m:r>
              <m:r>
                <m:rPr>
                  <m:sty m:val="p"/>
                </m:rPr>
                <m:t>–</m:t>
              </m:r>
            </m:oMath>
            <w:r>
              <w:rPr>
                <w:b/>
                <w:bCs/>
              </w:rPr>
              <w:t xml:space="preserve">6.4B</w:t>
            </w:r>
          </w:p>
        </w:tc>
        <w:tc>
          <w:tcPr/>
          <w:p>
            <w:pPr>
              <w:pStyle w:val="Compact"/>
              <w:jc w:val="right"/>
            </w:pPr>
            <w:r>
              <w:t xml:space="preserve">$7.31B</w:t>
            </w:r>
          </w:p>
        </w:tc>
        <w:tc>
          <w:tcPr/>
          <w:p>
            <w:pPr>
              <w:pStyle w:val="Compact"/>
              <w:jc w:val="right"/>
            </w:pPr>
            <w:r>
              <w:t xml:space="preserve">$5.32B</w:t>
            </w:r>
          </w:p>
        </w:tc>
      </w:tr>
      <w:tr>
        <w:tc>
          <w:tcPr/>
          <w:p>
            <w:pPr>
              <w:pStyle w:val="Compact"/>
            </w:pPr>
            <w:r>
              <w:t xml:space="preserve">Attributable gold production</w:t>
            </w:r>
          </w:p>
        </w:tc>
        <w:tc>
          <w:tcPr/>
          <w:p>
            <w:pPr>
              <w:pStyle w:val="Compact"/>
              <w:jc w:val="right"/>
            </w:pPr>
            <w:r>
              <w:rPr>
                <w:b/>
                <w:bCs/>
              </w:rPr>
              <w:t xml:space="preserve">Around 1.2 Moz</w:t>
            </w:r>
            <w:r>
              <w:t xml:space="preserve"> </w:t>
            </w:r>
            <w:r>
              <w:t xml:space="preserve">based on company guidance</w:t>
            </w:r>
          </w:p>
        </w:tc>
        <w:tc>
          <w:tcPr/>
          <w:p>
            <w:pPr>
              <w:pStyle w:val="Compact"/>
              <w:jc w:val="right"/>
            </w:pPr>
            <w:r>
              <w:t xml:space="preserve">1.30 Moz</w:t>
            </w:r>
          </w:p>
        </w:tc>
        <w:tc>
          <w:tcPr/>
          <w:p>
            <w:pPr>
              <w:pStyle w:val="Compact"/>
              <w:jc w:val="right"/>
            </w:pPr>
            <w:r>
              <w:t xml:space="preserve">1.48 Moz</w:t>
            </w:r>
          </w:p>
        </w:tc>
      </w:tr>
      <w:tr>
        <w:tc>
          <w:tcPr/>
          <w:p>
            <w:pPr>
              <w:pStyle w:val="Compact"/>
            </w:pPr>
            <w:r>
              <w:t xml:space="preserve">Gold by-product AISC</w:t>
            </w:r>
          </w:p>
        </w:tc>
        <w:tc>
          <w:tcPr/>
          <w:p>
            <w:pPr>
              <w:pStyle w:val="Compact"/>
              <w:jc w:val="right"/>
            </w:pPr>
            <w:r>
              <w:rPr>
                <w:b/>
                <w:bCs/>
              </w:rPr>
              <w:t xml:space="preserve">Materially above Q1’s $1,029/oz</w:t>
            </w:r>
          </w:p>
        </w:tc>
        <w:tc>
          <w:tcPr/>
          <w:p>
            <w:pPr>
              <w:pStyle w:val="Compact"/>
              <w:jc w:val="right"/>
            </w:pPr>
            <w:r>
              <w:t xml:space="preserve">$1,029/oz</w:t>
            </w:r>
          </w:p>
        </w:tc>
        <w:tc>
          <w:tcPr/>
          <w:p>
            <w:pPr>
              <w:pStyle w:val="Compact"/>
              <w:jc w:val="right"/>
            </w:pPr>
            <w:r>
              <w:t xml:space="preserve">$1,375/oz</w:t>
            </w:r>
          </w:p>
        </w:tc>
      </w:tr>
    </w:tbl>
    <w:p>
      <w:pPr>
        <w:pStyle w:val="BodyText"/>
      </w:pPr>
      <w:r>
        <w:t xml:space="preserve">Recent sources place consensus adjusted EPS around</w:t>
      </w:r>
      <w:r>
        <w:t xml:space="preserve"> </w:t>
      </w:r>
      <m:oMath>
        <m:r>
          <m:t>2.02</m:t>
        </m:r>
        <m:r>
          <m:rPr>
            <m:sty m:val="p"/>
          </m:rPr>
          <m:t>–</m:t>
        </m:r>
      </m:oMath>
      <w:r>
        <w:t xml:space="preserve">2.18 and revenue around</w:t>
      </w:r>
      <w:r>
        <w:t xml:space="preserve"> </w:t>
      </w:r>
      <m:oMath>
        <m:r>
          <m:t>6.19</m:t>
        </m:r>
        <m:r>
          <m:rPr>
            <m:sty m:val="p"/>
          </m:rPr>
          <m:t>–</m:t>
        </m:r>
      </m:oMath>
      <w:r>
        <w:t xml:space="preserve">6.38 billion. Estimates have softened into the report: Zacks’ published EPS forecast fell to $2.18 from roughly $2.25 in late June, reflecting weaker gold pricing and Newmont’s explicit warning about lower production and higher costs. (</w:t>
      </w:r>
      <w:hyperlink r:id="rId11">
        <w:r>
          <w:rPr>
            <w:rStyle w:val="Hyperlink"/>
          </w:rPr>
          <w:t xml:space="preserve">benzinga.com</w:t>
        </w:r>
      </w:hyperlink>
      <w:r>
        <w:t xml:space="preserve">)</w:t>
      </w:r>
    </w:p>
    <w:p>
      <w:pPr>
        <w:pStyle w:val="BodyText"/>
      </w:pPr>
      <w:r>
        <w:t xml:space="preserve">The likely sequential decline from Q1 should not be interpreted as an operational collapse. Q1 benefited from a</w:t>
      </w:r>
      <w:r>
        <w:t xml:space="preserve"> </w:t>
      </w:r>
      <w:r>
        <w:rPr>
          <w:b/>
          <w:bCs/>
        </w:rPr>
        <w:t xml:space="preserve">$4,900/oz realized gold price</w:t>
      </w:r>
      <w:r>
        <w:t xml:space="preserve">, exceptionally strong silver and copper by-product credits, and unusually low sustaining-capital spending. Those benefits were not expected to repeat fully in Q2. (</w:t>
      </w:r>
      <w:hyperlink r:id="rId12">
        <w:r>
          <w:rPr>
            <w:rStyle w:val="Hyperlink"/>
          </w:rPr>
          <w:t xml:space="preserve">newmont.com</w:t>
        </w:r>
      </w:hyperlink>
      <w:r>
        <w:t xml:space="preserve">)</w:t>
      </w:r>
    </w:p>
    <w:p>
      <w:r>
        <w:pict>
          <v:rect style="width:0;height:1.5pt" o:hralign="center" o:hrstd="t" o:hr="t"/>
        </w:pict>
      </w:r>
    </w:p>
    <w:bookmarkEnd w:id="13"/>
    <w:bookmarkStart w:id="16" w:name="Xf94d78b13e27e559aa39b3dd887148a04cdb051"/>
    <w:p>
      <w:pPr>
        <w:pStyle w:val="Heading2"/>
      </w:pPr>
      <w:r>
        <w:t xml:space="preserve">1. Production should be close to 1.2 million ounces</w:t>
      </w:r>
    </w:p>
    <w:p>
      <w:pPr>
        <w:pStyle w:val="FirstParagraph"/>
      </w:pPr>
      <w:r>
        <w:t xml:space="preserve">Management previously said Q2 would represent approximately</w:t>
      </w:r>
      <w:r>
        <w:t xml:space="preserve"> </w:t>
      </w:r>
      <w:r>
        <w:rPr>
          <w:b/>
          <w:bCs/>
        </w:rPr>
        <w:t xml:space="preserve">23% of full-year attributable gold production</w:t>
      </w:r>
      <w:r>
        <w:t xml:space="preserve">, slightly below Q1. Applying that percentage to the 5.26 million-ounce annual target implies roughly</w:t>
      </w:r>
      <w:r>
        <w:t xml:space="preserve"> </w:t>
      </w:r>
      <w:r>
        <w:rPr>
          <w:b/>
          <w:bCs/>
        </w:rPr>
        <w:t xml:space="preserve">1.21 million ounces</w:t>
      </w:r>
      <w:r>
        <w:t xml:space="preserve">.</w:t>
      </w:r>
    </w:p>
    <w:p>
      <w:pPr>
        <w:pStyle w:val="BodyText"/>
      </w:pPr>
      <w:r>
        <w:t xml:space="preserve">The company also expects 48% of annual production in the first half. That implies approximately 2.52 million ounces for H1 and, after Q1’s 1.30 million ounces, approximately</w:t>
      </w:r>
      <w:r>
        <w:t xml:space="preserve"> </w:t>
      </w:r>
      <w:r>
        <w:rPr>
          <w:b/>
          <w:bCs/>
        </w:rPr>
        <w:t xml:space="preserve">1.22 million ounces for Q2</w:t>
      </w:r>
      <w:r>
        <w:t xml:space="preserve">. Both guideposts point to essentially the same result. (</w:t>
      </w:r>
      <w:hyperlink r:id="rId12">
        <w:r>
          <w:rPr>
            <w:rStyle w:val="Hyperlink"/>
          </w:rPr>
          <w:t xml:space="preserve">newmont.com</w:t>
        </w:r>
      </w:hyperlink>
      <w:r>
        <w:t xml:space="preserve">)</w:t>
      </w:r>
    </w:p>
    <w:bookmarkStart w:id="15" w:name="operations-to-watch"/>
    <w:p>
      <w:pPr>
        <w:pStyle w:val="Heading3"/>
      </w:pPr>
      <w:r>
        <w:t xml:space="preserve">Operations to watch</w:t>
      </w:r>
    </w:p>
    <w:p>
      <w:pPr>
        <w:pStyle w:val="Compact"/>
        <w:numPr>
          <w:ilvl w:val="0"/>
          <w:numId w:val="1001"/>
        </w:numPr>
      </w:pPr>
      <w:r>
        <w:rPr>
          <w:b/>
          <w:bCs/>
        </w:rPr>
        <w:t xml:space="preserve">Cadia:</w:t>
      </w:r>
      <w:r>
        <w:t xml:space="preserve"> </w:t>
      </w:r>
      <w:r>
        <w:t xml:space="preserve">An April earthquake interrupted underground activity. Newmont initially expected rehabilitation to allow an 80% operating rate before a return to full capacity by quarter-end. The report needs to confirm that Cadia reached normal operating levels and that no material production was pushed into H2. (</w:t>
      </w:r>
      <w:hyperlink r:id="rId14">
        <w:r>
          <w:rPr>
            <w:rStyle w:val="Hyperlink"/>
          </w:rPr>
          <w:t xml:space="preserve">newmont.com</w:t>
        </w:r>
      </w:hyperlink>
      <w:r>
        <w:t xml:space="preserve">)</w:t>
      </w:r>
    </w:p>
    <w:p>
      <w:pPr>
        <w:pStyle w:val="Compact"/>
        <w:numPr>
          <w:ilvl w:val="0"/>
          <w:numId w:val="1001"/>
        </w:numPr>
      </w:pPr>
      <w:r>
        <w:rPr>
          <w:b/>
          <w:bCs/>
        </w:rPr>
        <w:t xml:space="preserve">Ahafo North:</w:t>
      </w:r>
      <w:r>
        <w:t xml:space="preserve"> </w:t>
      </w:r>
      <w:r>
        <w:t xml:space="preserve">This newer operation is expected to ramp sequentially throughout 2026. A smooth ramp would help offset weakness elsewhere.</w:t>
      </w:r>
    </w:p>
    <w:p>
      <w:pPr>
        <w:pStyle w:val="Compact"/>
        <w:numPr>
          <w:ilvl w:val="0"/>
          <w:numId w:val="1001"/>
        </w:numPr>
      </w:pPr>
      <w:r>
        <w:rPr>
          <w:b/>
          <w:bCs/>
        </w:rPr>
        <w:t xml:space="preserve">Boddington and Tanami:</w:t>
      </w:r>
      <w:r>
        <w:t xml:space="preserve"> </w:t>
      </w:r>
      <w:r>
        <w:t xml:space="preserve">Both were expected to improve in H2, making mine-plan execution and grade commentary more important than a single quarter’s output.</w:t>
      </w:r>
    </w:p>
    <w:p>
      <w:pPr>
        <w:pStyle w:val="Compact"/>
        <w:numPr>
          <w:ilvl w:val="0"/>
          <w:numId w:val="1001"/>
        </w:numPr>
      </w:pPr>
      <w:r>
        <w:rPr>
          <w:b/>
          <w:bCs/>
        </w:rPr>
        <w:t xml:space="preserve">Lihir and Cerro Negro:</w:t>
      </w:r>
      <w:r>
        <w:t xml:space="preserve"> </w:t>
      </w:r>
      <w:r>
        <w:t xml:space="preserve">Investors will want confirmation that the grade, maintenance and sequencing issues that affected Q1 are progressing as planned.</w:t>
      </w:r>
    </w:p>
    <w:p>
      <w:pPr>
        <w:pStyle w:val="Compact"/>
        <w:numPr>
          <w:ilvl w:val="0"/>
          <w:numId w:val="1001"/>
        </w:numPr>
      </w:pPr>
      <w:r>
        <w:rPr>
          <w:b/>
          <w:bCs/>
        </w:rPr>
        <w:t xml:space="preserve">Nevada Gold Mines and Pueblo Viejo:</w:t>
      </w:r>
      <w:r>
        <w:t xml:space="preserve"> </w:t>
      </w:r>
      <w:r>
        <w:t xml:space="preserve">Q1 attributable production declined sequentially at both non-managed assets. Because Newmont does not operate them, sustained underperformance can be harder to remedy.</w:t>
      </w:r>
    </w:p>
    <w:p>
      <w:pPr>
        <w:pStyle w:val="Compact"/>
        <w:numPr>
          <w:ilvl w:val="0"/>
          <w:numId w:val="1001"/>
        </w:numPr>
      </w:pPr>
      <w:r>
        <w:rPr>
          <w:b/>
          <w:bCs/>
        </w:rPr>
        <w:t xml:space="preserve">Peñasquito:</w:t>
      </w:r>
      <w:r>
        <w:t xml:space="preserve"> </w:t>
      </w:r>
      <w:r>
        <w:t xml:space="preserve">Gold output is only part of the story. Silver, zinc and lead production materially affect Newmont’s reported by-product cost metrics.</w:t>
      </w:r>
    </w:p>
    <w:p>
      <w:pPr>
        <w:pStyle w:val="FirstParagraph"/>
      </w:pPr>
      <w:r>
        <w:rPr>
          <w:b/>
          <w:bCs/>
        </w:rPr>
        <w:t xml:space="preserve">A production result near 1.2 million ounces should be acceptable.</w:t>
      </w:r>
      <w:r>
        <w:t xml:space="preserve"> </w:t>
      </w:r>
      <w:r>
        <w:t xml:space="preserve">A number below roughly 1.15 million would increase the burden on H2 and make the full-year target less comfortable.</w:t>
      </w:r>
    </w:p>
    <w:p>
      <w:r>
        <w:pict>
          <v:rect style="width:0;height:1.5pt" o:hralign="center" o:hrstd="t" o:hr="t"/>
        </w:pict>
      </w:r>
    </w:p>
    <w:bookmarkEnd w:id="15"/>
    <w:bookmarkEnd w:id="16"/>
    <w:bookmarkStart w:id="18" w:name="X38f35dc4531ca4e0cbe840f260654887db239a2"/>
    <w:p>
      <w:pPr>
        <w:pStyle w:val="Heading2"/>
      </w:pPr>
      <w:r>
        <w:t xml:space="preserve">2. The cost increase is expected—but its size matters</w:t>
      </w:r>
    </w:p>
    <w:p>
      <w:pPr>
        <w:pStyle w:val="FirstParagraph"/>
      </w:pPr>
      <w:r>
        <w:t xml:space="preserve">Newmont explicitly warned that Q2 unit costs would be</w:t>
      </w:r>
      <w:r>
        <w:t xml:space="preserve"> </w:t>
      </w:r>
      <w:r>
        <w:rPr>
          <w:b/>
          <w:bCs/>
        </w:rPr>
        <w:t xml:space="preserve">“notably higher”</w:t>
      </w:r>
      <w:r>
        <w:t xml:space="preserve"> </w:t>
      </w:r>
      <w:r>
        <w:t xml:space="preserve">than Q1 because of:</w:t>
      </w:r>
    </w:p>
    <w:p>
      <w:pPr>
        <w:pStyle w:val="Compact"/>
        <w:numPr>
          <w:ilvl w:val="0"/>
          <w:numId w:val="1002"/>
        </w:numPr>
      </w:pPr>
      <w:r>
        <w:t xml:space="preserve">Higher sustaining-capital spending</w:t>
      </w:r>
    </w:p>
    <w:p>
      <w:pPr>
        <w:pStyle w:val="Compact"/>
        <w:numPr>
          <w:ilvl w:val="0"/>
          <w:numId w:val="1002"/>
        </w:numPr>
      </w:pPr>
      <w:r>
        <w:t xml:space="preserve">Lower silver production and therefore fewer by-product credits</w:t>
      </w:r>
    </w:p>
    <w:p>
      <w:pPr>
        <w:pStyle w:val="Compact"/>
        <w:numPr>
          <w:ilvl w:val="0"/>
          <w:numId w:val="1002"/>
        </w:numPr>
      </w:pPr>
      <w:r>
        <w:t xml:space="preserve">Higher costs at Boddington, Tanami, Lihir and Peñasquito</w:t>
      </w:r>
    </w:p>
    <w:p>
      <w:pPr>
        <w:pStyle w:val="Compact"/>
        <w:numPr>
          <w:ilvl w:val="0"/>
          <w:numId w:val="1002"/>
        </w:numPr>
      </w:pPr>
      <w:r>
        <w:t xml:space="preserve">A full quarter of increased Ghana royalties</w:t>
      </w:r>
    </w:p>
    <w:p>
      <w:pPr>
        <w:pStyle w:val="Compact"/>
        <w:numPr>
          <w:ilvl w:val="0"/>
          <w:numId w:val="1002"/>
        </w:numPr>
      </w:pPr>
      <w:r>
        <w:t xml:space="preserve">Potential pressure from oil prices</w:t>
      </w:r>
    </w:p>
    <w:p>
      <w:pPr>
        <w:pStyle w:val="FirstParagraph"/>
      </w:pPr>
      <w:r>
        <w:t xml:space="preserve">(</w:t>
      </w:r>
      <w:hyperlink r:id="rId12">
        <w:r>
          <w:rPr>
            <w:rStyle w:val="Hyperlink"/>
          </w:rPr>
          <w:t xml:space="preserve">newmont.com</w:t>
        </w:r>
      </w:hyperlink>
      <w:r>
        <w:t xml:space="preserve">)</w:t>
      </w:r>
    </w:p>
    <w:p>
      <w:pPr>
        <w:pStyle w:val="BodyText"/>
      </w:pPr>
      <w:r>
        <w:t xml:space="preserve">This makes Q1’s $1,029/oz by-product AISC a poor baseline. Q1 was helped substantially by strong non-gold metal pricing and volumes, particularly at Peñasquito, as well as only $381 million of sustaining-capital investment.</w:t>
      </w:r>
    </w:p>
    <w:p>
      <w:pPr>
        <w:pStyle w:val="BodyText"/>
      </w:pPr>
      <w:r>
        <w:t xml:space="preserve">Newmont’s seasonality guidance implies approximately</w:t>
      </w:r>
      <w:r>
        <w:t xml:space="preserve"> </w:t>
      </w:r>
      <m:oMath>
        <m:r>
          <m:t>936</m:t>
        </m:r>
        <m:r>
          <m:t>m</m:t>
        </m:r>
        <m:r>
          <m:t>i</m:t>
        </m:r>
        <m:r>
          <m:t>l</m:t>
        </m:r>
        <m:r>
          <m:t>l</m:t>
        </m:r>
        <m:r>
          <m:t>i</m:t>
        </m:r>
        <m:r>
          <m:t>o</m:t>
        </m:r>
        <m:r>
          <m:t>n</m:t>
        </m:r>
        <m:r>
          <m:t>o</m:t>
        </m:r>
        <m:r>
          <m:t>f</m:t>
        </m:r>
        <m:r>
          <m:t>H</m:t>
        </m:r>
        <m:r>
          <m:t>1</m:t>
        </m:r>
        <m:r>
          <m:t>s</m:t>
        </m:r>
        <m:r>
          <m:t>u</m:t>
        </m:r>
        <m:r>
          <m:t>s</m:t>
        </m:r>
        <m:r>
          <m:t>t</m:t>
        </m:r>
        <m:r>
          <m:t>a</m:t>
        </m:r>
        <m:r>
          <m:t>i</m:t>
        </m:r>
        <m:r>
          <m:t>n</m:t>
        </m:r>
        <m:r>
          <m:t>i</m:t>
        </m:r>
        <m:r>
          <m:t>n</m:t>
        </m:r>
        <m:r>
          <m:t>g</m:t>
        </m:r>
        <m:r>
          <m:t>c</m:t>
        </m:r>
        <m:r>
          <m:t>a</m:t>
        </m:r>
        <m:r>
          <m:t>p</m:t>
        </m:r>
        <m:r>
          <m:t>i</m:t>
        </m:r>
        <m:r>
          <m:t>t</m:t>
        </m:r>
        <m:r>
          <m:t>a</m:t>
        </m:r>
        <m:r>
          <m:t>l</m:t>
        </m:r>
        <m:r>
          <m:rPr>
            <m:sty m:val="p"/>
          </m:rPr>
          <m:t>*</m:t>
        </m:r>
        <m:r>
          <m:rPr>
            <m:sty m:val="p"/>
          </m:rPr>
          <m:t>*</m:t>
        </m:r>
        <m:r>
          <m:rPr>
            <m:sty m:val="p"/>
          </m:rPr>
          <m:t>.</m:t>
        </m:r>
        <m:r>
          <m:t>S</m:t>
        </m:r>
        <m:r>
          <m:t>u</m:t>
        </m:r>
        <m:r>
          <m:t>b</m:t>
        </m:r>
        <m:r>
          <m:t>t</m:t>
        </m:r>
        <m:r>
          <m:t>r</m:t>
        </m:r>
        <m:r>
          <m:t>a</m:t>
        </m:r>
        <m:r>
          <m:t>c</m:t>
        </m:r>
        <m:r>
          <m:t>t</m:t>
        </m:r>
        <m:r>
          <m:t>i</m:t>
        </m:r>
        <m:r>
          <m:t>n</m:t>
        </m:r>
        <m:r>
          <m:t>g</m:t>
        </m:r>
        <m:r>
          <m:t>Q</m:t>
        </m:r>
        <m:r>
          <m:t>1</m:t>
        </m:r>
        <m:r>
          <m:t>s</m:t>
        </m:r>
        <m:r>
          <m:t>u</m:t>
        </m:r>
        <m:r>
          <m:t>g</m:t>
        </m:r>
        <m:r>
          <m:t>g</m:t>
        </m:r>
        <m:r>
          <m:t>e</m:t>
        </m:r>
        <m:r>
          <m:t>s</m:t>
        </m:r>
        <m:r>
          <m:t>t</m:t>
        </m:r>
        <m:r>
          <m:t>s</m:t>
        </m:r>
        <m:r>
          <m:t>r</m:t>
        </m:r>
        <m:r>
          <m:t>o</m:t>
        </m:r>
        <m:r>
          <m:t>u</m:t>
        </m:r>
        <m:r>
          <m:t>g</m:t>
        </m:r>
        <m:r>
          <m:t>h</m:t>
        </m:r>
        <m:r>
          <m:t>l</m:t>
        </m:r>
        <m:r>
          <m:t>y</m:t>
        </m:r>
        <m:r>
          <m:rPr>
            <m:sty m:val="p"/>
          </m:rPr>
          <m:t>*</m:t>
        </m:r>
        <m:r>
          <m:rPr>
            <m:sty m:val="p"/>
          </m:rPr>
          <m:t>*</m:t>
        </m:r>
      </m:oMath>
      <w:r>
        <w:rPr>
          <w:b/>
          <w:bCs/>
        </w:rPr>
        <w:t xml:space="preserve">555 million for Q2</w:t>
      </w:r>
      <w:r>
        <w:t xml:space="preserve">, almost 46% above Q1. Development-capital guidance similarly implies approximately</w:t>
      </w:r>
      <w:r>
        <w:t xml:space="preserve"> </w:t>
      </w:r>
      <w:r>
        <w:rPr>
          <w:b/>
          <w:bCs/>
        </w:rPr>
        <w:t xml:space="preserve">$391 million in Q2</w:t>
      </w:r>
      <w:r>
        <w:t xml:space="preserve">, versus $239 million in Q1.</w:t>
      </w:r>
    </w:p>
    <w:bookmarkStart w:id="17" w:name="what-would-count-as-a-good-cost-result"/>
    <w:p>
      <w:pPr>
        <w:pStyle w:val="Heading3"/>
      </w:pPr>
      <w:r>
        <w:t xml:space="preserve">What would count as a good cost result?</w:t>
      </w:r>
    </w:p>
    <w:p>
      <w:pPr>
        <w:pStyle w:val="Compact"/>
        <w:numPr>
          <w:ilvl w:val="0"/>
          <w:numId w:val="1003"/>
        </w:numPr>
      </w:pPr>
      <w:r>
        <w:rPr>
          <w:b/>
          <w:bCs/>
        </w:rPr>
        <w:t xml:space="preserve">Positive:</w:t>
      </w:r>
      <w:r>
        <w:t xml:space="preserve"> </w:t>
      </w:r>
      <w:r>
        <w:t xml:space="preserve">AISC rises as expected, but management attributes most of the increase to planned capital timing and maintains the</w:t>
      </w:r>
      <w:r>
        <w:t xml:space="preserve"> </w:t>
      </w:r>
      <w:r>
        <w:rPr>
          <w:b/>
          <w:bCs/>
        </w:rPr>
        <w:t xml:space="preserve">$1,680/oz full-year target</w:t>
      </w:r>
      <w:r>
        <w:t xml:space="preserve">.</w:t>
      </w:r>
    </w:p>
    <w:p>
      <w:pPr>
        <w:pStyle w:val="Compact"/>
        <w:numPr>
          <w:ilvl w:val="0"/>
          <w:numId w:val="1003"/>
        </w:numPr>
      </w:pPr>
      <w:r>
        <w:rPr>
          <w:b/>
          <w:bCs/>
        </w:rPr>
        <w:t xml:space="preserve">Neutral:</w:t>
      </w:r>
      <w:r>
        <w:t xml:space="preserve"> </w:t>
      </w:r>
      <w:r>
        <w:t xml:space="preserve">AISC is materially higher, but H2 production improvements are still sufficient to preserve annual guidance.</w:t>
      </w:r>
    </w:p>
    <w:p>
      <w:pPr>
        <w:pStyle w:val="Compact"/>
        <w:numPr>
          <w:ilvl w:val="0"/>
          <w:numId w:val="1003"/>
        </w:numPr>
      </w:pPr>
      <w:r>
        <w:rPr>
          <w:b/>
          <w:bCs/>
        </w:rPr>
        <w:t xml:space="preserve">Negative:</w:t>
      </w:r>
      <w:r>
        <w:t xml:space="preserve"> </w:t>
      </w:r>
      <w:r>
        <w:t xml:space="preserve">Higher operating costs—not merely capital timing or lower by-product credits—force an increase in annual AISC guidance.</w:t>
      </w:r>
    </w:p>
    <w:p>
      <w:pPr>
        <w:pStyle w:val="FirstParagraph"/>
      </w:pPr>
      <w:r>
        <w:t xml:space="preserve">The distinction between</w:t>
      </w:r>
      <w:r>
        <w:t xml:space="preserve"> </w:t>
      </w:r>
      <w:r>
        <w:rPr>
          <w:b/>
          <w:bCs/>
        </w:rPr>
        <w:t xml:space="preserve">structural inflation</w:t>
      </w:r>
      <w:r>
        <w:t xml:space="preserve"> </w:t>
      </w:r>
      <w:r>
        <w:t xml:space="preserve">and</w:t>
      </w:r>
      <w:r>
        <w:t xml:space="preserve"> </w:t>
      </w:r>
      <w:r>
        <w:rPr>
          <w:b/>
          <w:bCs/>
        </w:rPr>
        <w:t xml:space="preserve">planned quarterly timing</w:t>
      </w:r>
      <w:r>
        <w:t xml:space="preserve"> </w:t>
      </w:r>
      <w:r>
        <w:t xml:space="preserve">will probably matter more to the stock than the absolute Q2 AISC figure.</w:t>
      </w:r>
    </w:p>
    <w:p>
      <w:r>
        <w:pict>
          <v:rect style="width:0;height:1.5pt" o:hralign="center" o:hrstd="t" o:hr="t"/>
        </w:pict>
      </w:r>
    </w:p>
    <w:bookmarkEnd w:id="17"/>
    <w:bookmarkEnd w:id="18"/>
    <w:bookmarkStart w:id="20" w:name="Xf78844636dd88c58735e8b6c4a9100bf79cac52"/>
    <w:p>
      <w:pPr>
        <w:pStyle w:val="Heading2"/>
      </w:pPr>
      <w:r>
        <w:t xml:space="preserve">3. Full-year guidance is the central catalyst</w:t>
      </w:r>
    </w:p>
    <w:p>
      <w:pPr>
        <w:pStyle w:val="FirstParagraph"/>
      </w:pPr>
      <w:r>
        <w:t xml:space="preserve">Current 2026 guidance includes: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guidance</w:t>
            </w:r>
          </w:p>
        </w:tc>
      </w:tr>
      <w:tr>
        <w:tc>
          <w:tcPr/>
          <w:p>
            <w:pPr>
              <w:pStyle w:val="Compact"/>
            </w:pPr>
            <w:r>
              <w:t xml:space="preserve">Attributable gold production</w:t>
            </w:r>
          </w:p>
        </w:tc>
        <w:tc>
          <w:tcPr/>
          <w:p>
            <w:pPr>
              <w:pStyle w:val="Compact"/>
              <w:jc w:val="right"/>
            </w:pPr>
            <w:r>
              <w:rPr>
                <w:b/>
                <w:bCs/>
              </w:rPr>
              <w:t xml:space="preserve">5.26 Moz</w:t>
            </w:r>
          </w:p>
        </w:tc>
      </w:tr>
      <w:tr>
        <w:tc>
          <w:tcPr/>
          <w:p>
            <w:pPr>
              <w:pStyle w:val="Compact"/>
            </w:pPr>
            <w:r>
              <w:t xml:space="preserve">Gold by-product CAS</w:t>
            </w:r>
          </w:p>
        </w:tc>
        <w:tc>
          <w:tcPr/>
          <w:p>
            <w:pPr>
              <w:pStyle w:val="Compact"/>
              <w:jc w:val="right"/>
            </w:pPr>
            <w:r>
              <w:rPr>
                <w:b/>
                <w:bCs/>
              </w:rPr>
              <w:t xml:space="preserve">$1,055/oz</w:t>
            </w:r>
          </w:p>
        </w:tc>
      </w:tr>
      <w:tr>
        <w:tc>
          <w:tcPr/>
          <w:p>
            <w:pPr>
              <w:pStyle w:val="Compact"/>
            </w:pPr>
            <w:r>
              <w:t xml:space="preserve">Gold by-product AISC</w:t>
            </w:r>
          </w:p>
        </w:tc>
        <w:tc>
          <w:tcPr/>
          <w:p>
            <w:pPr>
              <w:pStyle w:val="Compact"/>
              <w:jc w:val="right"/>
            </w:pPr>
            <w:r>
              <w:rPr>
                <w:b/>
                <w:bCs/>
              </w:rPr>
              <w:t xml:space="preserve">$1,680/oz</w:t>
            </w:r>
          </w:p>
        </w:tc>
      </w:tr>
      <w:tr>
        <w:tc>
          <w:tcPr/>
          <w:p>
            <w:pPr>
              <w:pStyle w:val="Compact"/>
            </w:pPr>
            <w:r>
              <w:t xml:space="preserve">Sustaining capital</w:t>
            </w:r>
          </w:p>
        </w:tc>
        <w:tc>
          <w:tcPr/>
          <w:p>
            <w:pPr>
              <w:pStyle w:val="Compact"/>
              <w:jc w:val="right"/>
            </w:pPr>
            <w:r>
              <w:rPr>
                <w:b/>
                <w:bCs/>
              </w:rPr>
              <w:t xml:space="preserve">$1.95B</w:t>
            </w:r>
          </w:p>
        </w:tc>
      </w:tr>
      <w:tr>
        <w:tc>
          <w:tcPr/>
          <w:p>
            <w:pPr>
              <w:pStyle w:val="Compact"/>
            </w:pPr>
            <w:r>
              <w:t xml:space="preserve">Development capital</w:t>
            </w:r>
          </w:p>
        </w:tc>
        <w:tc>
          <w:tcPr/>
          <w:p>
            <w:pPr>
              <w:pStyle w:val="Compact"/>
              <w:jc w:val="right"/>
            </w:pPr>
            <w:r>
              <w:rPr>
                <w:b/>
                <w:bCs/>
              </w:rPr>
              <w:t xml:space="preserve">$1.40B</w:t>
            </w:r>
          </w:p>
        </w:tc>
      </w:tr>
      <w:tr>
        <w:tc>
          <w:tcPr/>
          <w:p>
            <w:pPr>
              <w:pStyle w:val="Compact"/>
            </w:pPr>
            <w:r>
              <w:t xml:space="preserve">Copper production</w:t>
            </w:r>
          </w:p>
        </w:tc>
        <w:tc>
          <w:tcPr/>
          <w:p>
            <w:pPr>
              <w:pStyle w:val="Compact"/>
              <w:jc w:val="right"/>
            </w:pPr>
            <w:r>
              <w:rPr>
                <w:b/>
                <w:bCs/>
              </w:rPr>
              <w:t xml:space="preserve">102 kt</w:t>
            </w:r>
          </w:p>
        </w:tc>
      </w:tr>
      <w:tr>
        <w:tc>
          <w:tcPr/>
          <w:p>
            <w:pPr>
              <w:pStyle w:val="Compact"/>
            </w:pPr>
            <w:r>
              <w:t xml:space="preserve">Silver production</w:t>
            </w:r>
          </w:p>
        </w:tc>
        <w:tc>
          <w:tcPr/>
          <w:p>
            <w:pPr>
              <w:pStyle w:val="Compact"/>
              <w:jc w:val="right"/>
            </w:pPr>
            <w:r>
              <w:rPr>
                <w:b/>
                <w:bCs/>
              </w:rPr>
              <w:t xml:space="preserve">32 Moz</w:t>
            </w:r>
          </w:p>
        </w:tc>
      </w:tr>
      <w:tr>
        <w:tc>
          <w:tcPr/>
          <w:p>
            <w:pPr>
              <w:pStyle w:val="Compact"/>
            </w:pPr>
            <w:r>
              <w:t xml:space="preserve">Lead production</w:t>
            </w:r>
          </w:p>
        </w:tc>
        <w:tc>
          <w:tcPr/>
          <w:p>
            <w:pPr>
              <w:pStyle w:val="Compact"/>
              <w:jc w:val="right"/>
            </w:pPr>
            <w:r>
              <w:rPr>
                <w:b/>
                <w:bCs/>
              </w:rPr>
              <w:t xml:space="preserve">90 kt</w:t>
            </w:r>
          </w:p>
        </w:tc>
      </w:tr>
      <w:tr>
        <w:tc>
          <w:tcPr/>
          <w:p>
            <w:pPr>
              <w:pStyle w:val="Compact"/>
            </w:pPr>
            <w:r>
              <w:t xml:space="preserve">Zinc production</w:t>
            </w:r>
          </w:p>
        </w:tc>
        <w:tc>
          <w:tcPr/>
          <w:p>
            <w:pPr>
              <w:pStyle w:val="Compact"/>
              <w:jc w:val="right"/>
            </w:pPr>
            <w:r>
              <w:rPr>
                <w:b/>
                <w:bCs/>
              </w:rPr>
              <w:t xml:space="preserve">220 kt</w:t>
            </w:r>
          </w:p>
        </w:tc>
      </w:tr>
    </w:tbl>
    <w:p>
      <w:pPr>
        <w:pStyle w:val="BodyText"/>
      </w:pPr>
      <w:r>
        <w:t xml:space="preserve">Newmont entered Q2 saying it remained on track, but guidance already requires</w:t>
      </w:r>
      <w:r>
        <w:t xml:space="preserve"> </w:t>
      </w:r>
      <w:r>
        <w:rPr>
          <w:b/>
          <w:bCs/>
        </w:rPr>
        <w:t xml:space="preserve">52% of annual production in H2</w:t>
      </w:r>
      <w:r>
        <w:t xml:space="preserve">. Maintaining the forecast therefore depends on improvements at Boddington, Tanami, Lihir, Cerro Negro and Peñasquito, along with the continued ramp at Ahafo North. (</w:t>
      </w:r>
      <w:hyperlink r:id="rId12">
        <w:r>
          <w:rPr>
            <w:rStyle w:val="Hyperlink"/>
          </w:rPr>
          <w:t xml:space="preserve">newmont.com</w:t>
        </w:r>
      </w:hyperlink>
      <w:r>
        <w:t xml:space="preserve">)</w:t>
      </w:r>
    </w:p>
    <w:bookmarkStart w:id="19" w:name="guidance-outcomes"/>
    <w:p>
      <w:pPr>
        <w:pStyle w:val="Heading3"/>
      </w:pPr>
      <w:r>
        <w:t xml:space="preserve">Guidance outcomes</w:t>
      </w:r>
    </w:p>
    <w:p>
      <w:pPr>
        <w:pStyle w:val="Compact"/>
        <w:numPr>
          <w:ilvl w:val="0"/>
          <w:numId w:val="1004"/>
        </w:numPr>
      </w:pPr>
      <w:r>
        <w:rPr>
          <w:b/>
          <w:bCs/>
        </w:rPr>
        <w:t xml:space="preserve">Best case:</w:t>
      </w:r>
      <w:r>
        <w:t xml:space="preserve"> </w:t>
      </w:r>
      <w:r>
        <w:t xml:space="preserve">Full-year production and cost guidance are reaffirmed, Cadia is fully recovered, and management says H2 mine sequencing remains intact.</w:t>
      </w:r>
    </w:p>
    <w:p>
      <w:pPr>
        <w:pStyle w:val="Compact"/>
        <w:numPr>
          <w:ilvl w:val="0"/>
          <w:numId w:val="1004"/>
        </w:numPr>
      </w:pPr>
      <w:r>
        <w:rPr>
          <w:b/>
          <w:bCs/>
        </w:rPr>
        <w:t xml:space="preserve">Acceptable case:</w:t>
      </w:r>
      <w:r>
        <w:t xml:space="preserve"> </w:t>
      </w:r>
      <w:r>
        <w:t xml:space="preserve">Guidance is maintained but management narrows expectations toward the lower end of the production range or upper end of the cost range.</w:t>
      </w:r>
    </w:p>
    <w:p>
      <w:pPr>
        <w:pStyle w:val="Compact"/>
        <w:numPr>
          <w:ilvl w:val="0"/>
          <w:numId w:val="1004"/>
        </w:numPr>
      </w:pPr>
      <w:r>
        <w:rPr>
          <w:b/>
          <w:bCs/>
        </w:rPr>
        <w:t xml:space="preserve">Bear case:</w:t>
      </w:r>
      <w:r>
        <w:t xml:space="preserve"> </w:t>
      </w:r>
      <w:r>
        <w:t xml:space="preserve">Production is reduced, AISC is raised, or both—particularly if the explanation points to operational problems rather than commodity prices or planned spending.</w:t>
      </w:r>
    </w:p>
    <w:p>
      <w:pPr>
        <w:pStyle w:val="FirstParagraph"/>
      </w:pPr>
      <w:r>
        <w:t xml:space="preserve">Given the stock’s volatility and declining estimates ahead of the report, a clean reaffirmation could be more important than a modest EPS beat.</w:t>
      </w:r>
    </w:p>
    <w:p>
      <w:r>
        <w:pict>
          <v:rect style="width:0;height:1.5pt" o:hralign="center" o:hrstd="t" o:hr="t"/>
        </w:pict>
      </w:r>
    </w:p>
    <w:bookmarkEnd w:id="19"/>
    <w:bookmarkEnd w:id="20"/>
    <w:bookmarkStart w:id="22" w:name="Xe9a348d7b6935b9859d4f14dcbe4d887fa6297c"/>
    <w:p>
      <w:pPr>
        <w:pStyle w:val="Heading2"/>
      </w:pPr>
      <w:r>
        <w:t xml:space="preserve">4. Ghana is a real cost headwind</w:t>
      </w:r>
    </w:p>
    <w:p>
      <w:pPr>
        <w:pStyle w:val="FirstParagraph"/>
      </w:pPr>
      <w:r>
        <w:t xml:space="preserve">Ghana enacted a sliding gold royalty of</w:t>
      </w:r>
      <w:r>
        <w:t xml:space="preserve"> </w:t>
      </w:r>
      <w:r>
        <w:rPr>
          <w:b/>
          <w:bCs/>
        </w:rPr>
        <w:t xml:space="preserve">5%–12%</w:t>
      </w:r>
      <w:r>
        <w:t xml:space="preserve">, while reducing its Growth and Sustainability Levy from 3% to 1%. Newmont estimated the net effect at approximately</w:t>
      </w:r>
      <w:r>
        <w:t xml:space="preserve"> </w:t>
      </w:r>
      <m:oMath>
        <m:r>
          <m:t>185</m:t>
        </m:r>
        <m:r>
          <m:rPr>
            <m:sty m:val="p"/>
          </m:rPr>
          <m:t>/</m:t>
        </m:r>
        <m:r>
          <m:t>o</m:t>
        </m:r>
        <m:r>
          <m:t>z</m:t>
        </m:r>
        <m:r>
          <m:t>f</m:t>
        </m:r>
        <m:r>
          <m:t>o</m:t>
        </m:r>
        <m:r>
          <m:t>r</m:t>
        </m:r>
        <m:r>
          <m:t>i</m:t>
        </m:r>
        <m:r>
          <m:t>t</m:t>
        </m:r>
        <m:r>
          <m:t>s</m:t>
        </m:r>
        <m:r>
          <m:t>G</m:t>
        </m:r>
        <m:r>
          <m:t>h</m:t>
        </m:r>
        <m:r>
          <m:t>a</m:t>
        </m:r>
        <m:r>
          <m:t>n</m:t>
        </m:r>
        <m:r>
          <m:t>a</m:t>
        </m:r>
        <m:r>
          <m:t>o</m:t>
        </m:r>
        <m:r>
          <m:t>p</m:t>
        </m:r>
        <m:r>
          <m:t>e</m:t>
        </m:r>
        <m:r>
          <m:t>r</m:t>
        </m:r>
        <m:r>
          <m:t>a</m:t>
        </m:r>
        <m:r>
          <m:t>t</m:t>
        </m:r>
        <m:r>
          <m:t>i</m:t>
        </m:r>
        <m:r>
          <m:t>o</m:t>
        </m:r>
        <m:r>
          <m:t>n</m:t>
        </m:r>
        <m:r>
          <m:t>s</m:t>
        </m:r>
        <m:r>
          <m:rPr>
            <m:sty m:val="p"/>
          </m:rPr>
          <m:t>*</m:t>
        </m:r>
        <m:r>
          <m:rPr>
            <m:sty m:val="p"/>
          </m:rPr>
          <m:t>*</m:t>
        </m:r>
        <m:r>
          <m:t>a</m:t>
        </m:r>
        <m:r>
          <m:t>n</m:t>
        </m:r>
        <m:r>
          <m:t>d</m:t>
        </m:r>
        <m:r>
          <m:t>a</m:t>
        </m:r>
        <m:r>
          <m:t>r</m:t>
        </m:r>
        <m:r>
          <m:t>o</m:t>
        </m:r>
        <m:r>
          <m:t>u</m:t>
        </m:r>
        <m:r>
          <m:t>n</m:t>
        </m:r>
        <m:r>
          <m:t>d</m:t>
        </m:r>
        <m:r>
          <m:rPr>
            <m:sty m:val="p"/>
          </m:rPr>
          <m:t>*</m:t>
        </m:r>
        <m:r>
          <m:rPr>
            <m:sty m:val="p"/>
          </m:rPr>
          <m:t>*</m:t>
        </m:r>
      </m:oMath>
      <w:r>
        <w:rPr>
          <w:b/>
          <w:bCs/>
        </w:rPr>
        <w:t xml:space="preserve">25/oz for Newmont overall</w:t>
      </w:r>
      <w:r>
        <w:t xml:space="preserve">. That impact was not included in the original 2026 guidance, although the company said it was pursuing productivity offsets. (</w:t>
      </w:r>
      <w:hyperlink r:id="rId21">
        <w:r>
          <w:rPr>
            <w:rStyle w:val="Hyperlink"/>
          </w:rPr>
          <w:t xml:space="preserve">investors.newmont.com</w:t>
        </w:r>
      </w:hyperlink>
      <w:r>
        <w:t xml:space="preserve">)</w:t>
      </w:r>
    </w:p>
    <w:p>
      <w:pPr>
        <w:pStyle w:val="BodyText"/>
      </w:pPr>
      <w:r>
        <w:t xml:space="preserve">Investors should listen for:</w:t>
      </w:r>
    </w:p>
    <w:p>
      <w:pPr>
        <w:pStyle w:val="Compact"/>
        <w:numPr>
          <w:ilvl w:val="0"/>
          <w:numId w:val="1005"/>
        </w:numPr>
      </w:pPr>
      <w:r>
        <w:t xml:space="preserve">Whether the estimated $25/oz companywide impact has changed</w:t>
      </w:r>
    </w:p>
    <w:p>
      <w:pPr>
        <w:pStyle w:val="Compact"/>
        <w:numPr>
          <w:ilvl w:val="0"/>
          <w:numId w:val="1005"/>
        </w:numPr>
      </w:pPr>
      <w:r>
        <w:t xml:space="preserve">How much has already been offset</w:t>
      </w:r>
    </w:p>
    <w:p>
      <w:pPr>
        <w:pStyle w:val="Compact"/>
        <w:numPr>
          <w:ilvl w:val="0"/>
          <w:numId w:val="1005"/>
        </w:numPr>
      </w:pPr>
      <w:r>
        <w:t xml:space="preserve">Whether Ghana remains outside formal guidance assumptions</w:t>
      </w:r>
    </w:p>
    <w:p>
      <w:pPr>
        <w:pStyle w:val="Compact"/>
        <w:numPr>
          <w:ilvl w:val="0"/>
          <w:numId w:val="1005"/>
        </w:numPr>
      </w:pPr>
      <w:r>
        <w:t xml:space="preserve">Any implications for future investment at Ahafo North or Ahafo South</w:t>
      </w:r>
    </w:p>
    <w:p>
      <w:pPr>
        <w:pStyle w:val="Compact"/>
        <w:numPr>
          <w:ilvl w:val="0"/>
          <w:numId w:val="1005"/>
        </w:numPr>
      </w:pPr>
      <w:r>
        <w:t xml:space="preserve">Whether higher gold prices are pushing the operation toward the upper end of the royalty scale</w:t>
      </w:r>
    </w:p>
    <w:p>
      <w:pPr>
        <w:pStyle w:val="FirstParagraph"/>
      </w:pPr>
      <w:r>
        <w:t xml:space="preserve">AISC guidance that remains unchanged despite the royalty would suggest meaningful offsets elsewhere. Conversely, incorporating Ghana through a guidance increase would show that the original cost target had limited contingency.</w:t>
      </w:r>
    </w:p>
    <w:p>
      <w:r>
        <w:pict>
          <v:rect style="width:0;height:1.5pt" o:hralign="center" o:hrstd="t" o:hr="t"/>
        </w:pict>
      </w:r>
    </w:p>
    <w:bookmarkEnd w:id="22"/>
    <w:bookmarkStart w:id="23" w:name="X293df1c8036b875d575d56851335b07606622fc"/>
    <w:p>
      <w:pPr>
        <w:pStyle w:val="Heading2"/>
      </w:pPr>
      <w:r>
        <w:t xml:space="preserve">5. Free cash flow should remain the strongest part of the story</w:t>
      </w:r>
    </w:p>
    <w:p>
      <w:pPr>
        <w:pStyle w:val="FirstParagraph"/>
      </w:pPr>
      <w:r>
        <w:t xml:space="preserve">Q1 produced:</w:t>
      </w:r>
    </w:p>
    <w:p>
      <w:pPr>
        <w:pStyle w:val="Compact"/>
        <w:numPr>
          <w:ilvl w:val="0"/>
          <w:numId w:val="1006"/>
        </w:numPr>
      </w:pPr>
      <w:r>
        <w:rPr>
          <w:b/>
          <w:bCs/>
        </w:rPr>
        <w:t xml:space="preserve">$3.8 billion</w:t>
      </w:r>
      <w:r>
        <w:t xml:space="preserve"> </w:t>
      </w:r>
      <w:r>
        <w:t xml:space="preserve">of operating cash flow</w:t>
      </w:r>
    </w:p>
    <w:p>
      <w:pPr>
        <w:pStyle w:val="Compact"/>
        <w:numPr>
          <w:ilvl w:val="0"/>
          <w:numId w:val="1006"/>
        </w:numPr>
      </w:pPr>
      <w:r>
        <w:rPr>
          <w:b/>
          <w:bCs/>
        </w:rPr>
        <w:t xml:space="preserve">$3.1 billion</w:t>
      </w:r>
      <w:r>
        <w:t xml:space="preserve"> </w:t>
      </w:r>
      <w:r>
        <w:t xml:space="preserve">of free cash flow</w:t>
      </w:r>
    </w:p>
    <w:p>
      <w:pPr>
        <w:pStyle w:val="Compact"/>
        <w:numPr>
          <w:ilvl w:val="0"/>
          <w:numId w:val="1006"/>
        </w:numPr>
      </w:pPr>
      <w:r>
        <w:rPr>
          <w:b/>
          <w:bCs/>
        </w:rPr>
        <w:t xml:space="preserve">$8.8 billion</w:t>
      </w:r>
      <w:r>
        <w:t xml:space="preserve"> </w:t>
      </w:r>
      <w:r>
        <w:t xml:space="preserve">in cash</w:t>
      </w:r>
    </w:p>
    <w:p>
      <w:pPr>
        <w:pStyle w:val="Compact"/>
        <w:numPr>
          <w:ilvl w:val="0"/>
          <w:numId w:val="1006"/>
        </w:numPr>
      </w:pPr>
      <w:r>
        <w:rPr>
          <w:b/>
          <w:bCs/>
        </w:rPr>
        <w:t xml:space="preserve">$3.2 billion</w:t>
      </w:r>
      <w:r>
        <w:t xml:space="preserve"> </w:t>
      </w:r>
      <w:r>
        <w:t xml:space="preserve">of net cash</w:t>
      </w:r>
    </w:p>
    <w:p>
      <w:pPr>
        <w:pStyle w:val="FirstParagraph"/>
      </w:pPr>
      <w:r>
        <w:t xml:space="preserve">Those were exceptional figures, helped by Q1 commodity prices and low capital spending. Q2 free cash flow should decline sequentially as realized gold prices moderate and investment rises, but it can still be very strong in absolute terms. (</w:t>
      </w:r>
      <w:hyperlink r:id="rId12">
        <w:r>
          <w:rPr>
            <w:rStyle w:val="Hyperlink"/>
          </w:rPr>
          <w:t xml:space="preserve">newmont.com</w:t>
        </w:r>
      </w:hyperlink>
      <w:r>
        <w:t xml:space="preserve">)</w:t>
      </w:r>
    </w:p>
    <w:p>
      <w:pPr>
        <w:pStyle w:val="BodyText"/>
      </w:pPr>
      <w:r>
        <w:t xml:space="preserve">The important questions are:</w:t>
      </w:r>
    </w:p>
    <w:p>
      <w:pPr>
        <w:pStyle w:val="Compact"/>
        <w:numPr>
          <w:ilvl w:val="0"/>
          <w:numId w:val="1007"/>
        </w:numPr>
      </w:pPr>
      <w:r>
        <w:t xml:space="preserve">How much cash flow was generated</w:t>
      </w:r>
      <w:r>
        <w:t xml:space="preserve"> </w:t>
      </w:r>
      <w:r>
        <w:rPr>
          <w:b/>
          <w:bCs/>
        </w:rPr>
        <w:t xml:space="preserve">before working-capital movements</w:t>
      </w:r>
      <w:r>
        <w:t xml:space="preserve">?</w:t>
      </w:r>
    </w:p>
    <w:p>
      <w:pPr>
        <w:pStyle w:val="Compact"/>
        <w:numPr>
          <w:ilvl w:val="0"/>
          <w:numId w:val="1007"/>
        </w:numPr>
      </w:pPr>
      <w:r>
        <w:t xml:space="preserve">Did higher taxes, royalties and reclamation spending consume more cash than expected?</w:t>
      </w:r>
    </w:p>
    <w:p>
      <w:pPr>
        <w:pStyle w:val="Compact"/>
        <w:numPr>
          <w:ilvl w:val="0"/>
          <w:numId w:val="1007"/>
        </w:numPr>
      </w:pPr>
      <w:r>
        <w:t xml:space="preserve">Is Newmont still comfortably above its</w:t>
      </w:r>
      <w:r>
        <w:t xml:space="preserve"> </w:t>
      </w:r>
      <w:r>
        <w:rPr>
          <w:b/>
          <w:bCs/>
        </w:rPr>
        <w:t xml:space="preserve">$1 billion net-cash target</w:t>
      </w:r>
      <w:r>
        <w:t xml:space="preserve">, allowing continued buybacks?</w:t>
      </w:r>
    </w:p>
    <w:p>
      <w:pPr>
        <w:pStyle w:val="Compact"/>
        <w:numPr>
          <w:ilvl w:val="0"/>
          <w:numId w:val="1007"/>
        </w:numPr>
      </w:pPr>
      <w:r>
        <w:t xml:space="preserve">How much free cash flow remains after the normalized capital-spending ramp?</w:t>
      </w:r>
    </w:p>
    <w:p>
      <w:pPr>
        <w:pStyle w:val="FirstParagraph"/>
      </w:pPr>
      <w:r>
        <w:t xml:space="preserve">A quarter with lower EPS but resilient cash generation would likely be received better than an accounting beat accompanied by weak cash conversion.</w:t>
      </w:r>
    </w:p>
    <w:p>
      <w:r>
        <w:pict>
          <v:rect style="width:0;height:1.5pt" o:hralign="center" o:hrstd="t" o:hr="t"/>
        </w:pict>
      </w:r>
    </w:p>
    <w:bookmarkEnd w:id="23"/>
    <w:bookmarkStart w:id="24" w:name="Xe62e1cfa88dbd6f6eb24ee254bf784bfa8933c6"/>
    <w:p>
      <w:pPr>
        <w:pStyle w:val="Heading2"/>
      </w:pPr>
      <w:r>
        <w:t xml:space="preserve">6. Buyback execution could materially affect the reaction</w:t>
      </w:r>
    </w:p>
    <w:p>
      <w:pPr>
        <w:pStyle w:val="FirstParagraph"/>
      </w:pPr>
      <w:r>
        <w:t xml:space="preserve">Newmont completed its previous</w:t>
      </w:r>
      <w:r>
        <w:t xml:space="preserve"> </w:t>
      </w:r>
      <m:oMath>
        <m:r>
          <m:t>6</m:t>
        </m:r>
        <m:r>
          <m:t>b</m:t>
        </m:r>
        <m:r>
          <m:t>i</m:t>
        </m:r>
        <m:r>
          <m:t>l</m:t>
        </m:r>
        <m:r>
          <m:t>l</m:t>
        </m:r>
        <m:r>
          <m:t>i</m:t>
        </m:r>
        <m:r>
          <m:t>o</m:t>
        </m:r>
        <m:r>
          <m:t>n</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t>a</m:t>
        </m:r>
        <m:r>
          <m:t>n</m:t>
        </m:r>
        <m:r>
          <m:t>d</m:t>
        </m:r>
        <m:r>
          <m:t>a</m:t>
        </m:r>
        <m:r>
          <m:t>p</m:t>
        </m:r>
        <m:r>
          <m:t>p</m:t>
        </m:r>
        <m:r>
          <m:t>r</m:t>
        </m:r>
        <m:r>
          <m:t>o</m:t>
        </m:r>
        <m:r>
          <m:t>v</m:t>
        </m:r>
        <m:r>
          <m:t>e</m:t>
        </m:r>
        <m:r>
          <m:t>d</m:t>
        </m:r>
        <m:r>
          <m:t>a</m:t>
        </m:r>
        <m:r>
          <m:t>n</m:t>
        </m:r>
        <m:r>
          <m:t>a</m:t>
        </m:r>
        <m:r>
          <m:t>d</m:t>
        </m:r>
        <m:r>
          <m:t>d</m:t>
        </m:r>
        <m:r>
          <m:t>i</m:t>
        </m:r>
        <m:r>
          <m:t>t</m:t>
        </m:r>
        <m:r>
          <m:t>i</m:t>
        </m:r>
        <m:r>
          <m:t>o</m:t>
        </m:r>
        <m:r>
          <m:t>n</m:t>
        </m:r>
        <m:r>
          <m:t>a</m:t>
        </m:r>
        <m:r>
          <m:t>l</m:t>
        </m:r>
        <m:r>
          <m:rPr>
            <m:sty m:val="p"/>
          </m:rPr>
          <m:t>*</m:t>
        </m:r>
        <m:r>
          <m:rPr>
            <m:sty m:val="p"/>
          </m:rPr>
          <m:t>*</m:t>
        </m:r>
      </m:oMath>
      <w:r>
        <w:t xml:space="preserve">6 billion** program with Q1 results. It had repurchased $2.4 billion of shares since the prior earnings call and returned $2.7 billion through repurchases and dividends over that period. (</w:t>
      </w:r>
      <w:hyperlink r:id="rId12">
        <w:r>
          <w:rPr>
            <w:rStyle w:val="Hyperlink"/>
          </w:rPr>
          <w:t xml:space="preserve">newmont.com</w:t>
        </w:r>
      </w:hyperlink>
      <w:r>
        <w:t xml:space="preserve">)</w:t>
      </w:r>
    </w:p>
    <w:p>
      <w:pPr>
        <w:pStyle w:val="BodyText"/>
      </w:pPr>
      <w:r>
        <w:t xml:space="preserve">The market will want to know:</w:t>
      </w:r>
    </w:p>
    <w:p>
      <w:pPr>
        <w:pStyle w:val="Compact"/>
        <w:numPr>
          <w:ilvl w:val="0"/>
          <w:numId w:val="1008"/>
        </w:numPr>
      </w:pPr>
      <w:r>
        <w:t xml:space="preserve">How much of the new authorization has been used</w:t>
      </w:r>
    </w:p>
    <w:p>
      <w:pPr>
        <w:pStyle w:val="Compact"/>
        <w:numPr>
          <w:ilvl w:val="0"/>
          <w:numId w:val="1008"/>
        </w:numPr>
      </w:pPr>
      <w:r>
        <w:t xml:space="preserve">Whether the pace remains “ratable”</w:t>
      </w:r>
    </w:p>
    <w:p>
      <w:pPr>
        <w:pStyle w:val="Compact"/>
        <w:numPr>
          <w:ilvl w:val="0"/>
          <w:numId w:val="1008"/>
        </w:numPr>
      </w:pPr>
      <w:r>
        <w:t xml:space="preserve">The average repurchase price</w:t>
      </w:r>
    </w:p>
    <w:p>
      <w:pPr>
        <w:pStyle w:val="Compact"/>
        <w:numPr>
          <w:ilvl w:val="0"/>
          <w:numId w:val="1008"/>
        </w:numPr>
      </w:pPr>
      <w:r>
        <w:t xml:space="preserve">The quarter-end share count</w:t>
      </w:r>
    </w:p>
    <w:p>
      <w:pPr>
        <w:pStyle w:val="Compact"/>
        <w:numPr>
          <w:ilvl w:val="0"/>
          <w:numId w:val="1008"/>
        </w:numPr>
      </w:pPr>
      <w:r>
        <w:t xml:space="preserve">Whether management intends to keep buying aggressively after the recent share-price pullback</w:t>
      </w:r>
    </w:p>
    <w:p>
      <w:pPr>
        <w:pStyle w:val="FirstParagraph"/>
      </w:pPr>
      <w:r>
        <w:t xml:space="preserve">The buyback is important for more than near-term demand. Newmont’s capital-allocation framework is designed to reduce the share count and increase the sustainable dividend</w:t>
      </w:r>
      <w:r>
        <w:t xml:space="preserve"> </w:t>
      </w:r>
      <w:r>
        <w:rPr>
          <w:b/>
          <w:bCs/>
        </w:rPr>
        <w:t xml:space="preserve">per share</w:t>
      </w:r>
      <w:r>
        <w:t xml:space="preserve"> </w:t>
      </w:r>
      <w:r>
        <w:t xml:space="preserve">without materially increasing the total annual dividend commitment.</w:t>
      </w:r>
    </w:p>
    <w:p>
      <w:pPr>
        <w:pStyle w:val="BodyText"/>
      </w:pPr>
      <w:r>
        <w:t xml:space="preserve">A strong quarter of repurchases could also help EPS exceed expectations even if operating profit is merely in line.</w:t>
      </w:r>
    </w:p>
    <w:p>
      <w:r>
        <w:pict>
          <v:rect style="width:0;height:1.5pt" o:hralign="center" o:hrstd="t" o:hr="t"/>
        </w:pict>
      </w:r>
    </w:p>
    <w:bookmarkEnd w:id="24"/>
    <w:bookmarkStart w:id="26" w:name="X6410deb74430de311a066a3fa63edb4b8070978"/>
    <w:p>
      <w:pPr>
        <w:pStyle w:val="Heading2"/>
      </w:pPr>
      <w:r>
        <w:t xml:space="preserve">7. Management credibility is also on the line</w:t>
      </w:r>
    </w:p>
    <w:p>
      <w:pPr>
        <w:pStyle w:val="FirstParagraph"/>
      </w:pPr>
      <w:r>
        <w:t xml:space="preserve">This is one of the first earnings reports with Newmont’s reshaped leadership structure fully in effect. Effective July 1:</w:t>
      </w:r>
    </w:p>
    <w:p>
      <w:pPr>
        <w:pStyle w:val="Compact"/>
        <w:numPr>
          <w:ilvl w:val="0"/>
          <w:numId w:val="1009"/>
        </w:numPr>
      </w:pPr>
      <w:r>
        <w:t xml:space="preserve">Brian Tabolt became CFO</w:t>
      </w:r>
    </w:p>
    <w:p>
      <w:pPr>
        <w:pStyle w:val="Compact"/>
        <w:numPr>
          <w:ilvl w:val="0"/>
          <w:numId w:val="1009"/>
        </w:numPr>
      </w:pPr>
      <w:r>
        <w:t xml:space="preserve">Mark Rodgers became COO</w:t>
      </w:r>
    </w:p>
    <w:p>
      <w:pPr>
        <w:pStyle w:val="Compact"/>
        <w:numPr>
          <w:ilvl w:val="0"/>
          <w:numId w:val="1009"/>
        </w:numPr>
      </w:pPr>
      <w:r>
        <w:t xml:space="preserve">David Thornton became CTO</w:t>
      </w:r>
    </w:p>
    <w:p>
      <w:pPr>
        <w:pStyle w:val="Compact"/>
        <w:numPr>
          <w:ilvl w:val="0"/>
          <w:numId w:val="1009"/>
        </w:numPr>
      </w:pPr>
      <w:r>
        <w:t xml:space="preserve">David Fry became EVP of Project Development</w:t>
      </w:r>
    </w:p>
    <w:p>
      <w:pPr>
        <w:pStyle w:val="FirstParagraph"/>
      </w:pPr>
      <w:r>
        <w:t xml:space="preserve">(</w:t>
      </w:r>
      <w:hyperlink r:id="rId25">
        <w:r>
          <w:rPr>
            <w:rStyle w:val="Hyperlink"/>
          </w:rPr>
          <w:t xml:space="preserve">newmont.com</w:t>
        </w:r>
      </w:hyperlink>
      <w:r>
        <w:t xml:space="preserve">)</w:t>
      </w:r>
    </w:p>
    <w:p>
      <w:pPr>
        <w:pStyle w:val="BodyText"/>
      </w:pPr>
      <w:r>
        <w:t xml:space="preserve">The changes place greater emphasis on operational consistency, technical performance and disciplined project execution. The conference-call discussion of cost control, mine planning and capital prioritization may therefore carry additional weight.</w:t>
      </w:r>
    </w:p>
    <w:p>
      <w:pPr>
        <w:pStyle w:val="BodyText"/>
      </w:pPr>
      <w:r>
        <w:t xml:space="preserve">Investors should pay particular attention to whether the new team provides:</w:t>
      </w:r>
    </w:p>
    <w:p>
      <w:pPr>
        <w:pStyle w:val="Compact"/>
        <w:numPr>
          <w:ilvl w:val="0"/>
          <w:numId w:val="1010"/>
        </w:numPr>
      </w:pPr>
      <w:r>
        <w:t xml:space="preserve">Specific operating milestones rather than broad assurances</w:t>
      </w:r>
    </w:p>
    <w:p>
      <w:pPr>
        <w:pStyle w:val="Compact"/>
        <w:numPr>
          <w:ilvl w:val="0"/>
          <w:numId w:val="1010"/>
        </w:numPr>
      </w:pPr>
      <w:r>
        <w:t xml:space="preserve">Clear accountability for underperforming sites</w:t>
      </w:r>
    </w:p>
    <w:p>
      <w:pPr>
        <w:pStyle w:val="Compact"/>
        <w:numPr>
          <w:ilvl w:val="0"/>
          <w:numId w:val="1010"/>
        </w:numPr>
      </w:pPr>
      <w:r>
        <w:t xml:space="preserve">Realistic H2 production assumptions</w:t>
      </w:r>
    </w:p>
    <w:p>
      <w:pPr>
        <w:pStyle w:val="Compact"/>
        <w:numPr>
          <w:ilvl w:val="0"/>
          <w:numId w:val="1010"/>
        </w:numPr>
      </w:pPr>
      <w:r>
        <w:t xml:space="preserve">Updated capital and schedule estimates for major projects</w:t>
      </w:r>
    </w:p>
    <w:p>
      <w:pPr>
        <w:pStyle w:val="Compact"/>
        <w:numPr>
          <w:ilvl w:val="0"/>
          <w:numId w:val="1010"/>
        </w:numPr>
      </w:pPr>
      <w:r>
        <w:t xml:space="preserve">Evidence that productivity savings are offsetting royalties and inflation</w:t>
      </w:r>
    </w:p>
    <w:p>
      <w:r>
        <w:pict>
          <v:rect style="width:0;height:1.5pt" o:hralign="center" o:hrstd="t" o:hr="t"/>
        </w:pict>
      </w:r>
    </w:p>
    <w:bookmarkEnd w:id="26"/>
    <w:bookmarkStart w:id="28" w:name="stock-setup"/>
    <w:p>
      <w:pPr>
        <w:pStyle w:val="Heading2"/>
      </w:pPr>
      <w:r>
        <w:t xml:space="preserve">Stock setup</w:t>
      </w:r>
    </w:p>
    <w:p>
      <w:pPr>
        <w:pStyle w:val="FirstParagraph"/>
      </w:pPr>
      <w:r>
        <w:t xml:space="preserve">Through July 22, NEM had fallen approximately:</w:t>
      </w:r>
    </w:p>
    <w:p>
      <w:pPr>
        <w:pStyle w:val="Compact"/>
        <w:numPr>
          <w:ilvl w:val="0"/>
          <w:numId w:val="1011"/>
        </w:numPr>
      </w:pPr>
      <w:r>
        <w:rPr>
          <w:b/>
          <w:bCs/>
        </w:rPr>
        <w:t xml:space="preserve">4% year to date</w:t>
      </w:r>
    </w:p>
    <w:p>
      <w:pPr>
        <w:pStyle w:val="Compact"/>
        <w:numPr>
          <w:ilvl w:val="0"/>
          <w:numId w:val="1011"/>
        </w:numPr>
      </w:pPr>
      <w:r>
        <w:rPr>
          <w:b/>
          <w:bCs/>
        </w:rPr>
        <w:t xml:space="preserve">14% since the April 23 Q1 report</w:t>
      </w:r>
    </w:p>
    <w:p>
      <w:pPr>
        <w:pStyle w:val="FirstParagraph"/>
      </w:pPr>
      <w:r>
        <w:t xml:space="preserve">The broader gold-miner ETF and gold ETF also declined over those periods, so part of the weakness reflects lower bullion prices rather than Newmont-specific deterioration. Still, the post-Q1 decline suggests that investors are no longer capitalizing Q1’s record results as a sustainable quarterly run rate.</w:t>
      </w:r>
    </w:p>
    <w:p>
      <w:pPr>
        <w:pStyle w:val="BodyText"/>
      </w:pPr>
      <w:r>
        <w:t xml:space="preserve">That creates a somewhat more balanced earnings setup:</w:t>
      </w:r>
    </w:p>
    <w:p>
      <w:pPr>
        <w:pStyle w:val="Compact"/>
        <w:numPr>
          <w:ilvl w:val="0"/>
          <w:numId w:val="1012"/>
        </w:numPr>
      </w:pPr>
      <w:r>
        <w:t xml:space="preserve">Expectations for sequential earnings and production have already fallen.</w:t>
      </w:r>
    </w:p>
    <w:p>
      <w:pPr>
        <w:pStyle w:val="Compact"/>
        <w:numPr>
          <w:ilvl w:val="0"/>
          <w:numId w:val="1012"/>
        </w:numPr>
      </w:pPr>
      <w:r>
        <w:t xml:space="preserve">A cost increase is widely anticipated.</w:t>
      </w:r>
    </w:p>
    <w:p>
      <w:pPr>
        <w:pStyle w:val="Compact"/>
        <w:numPr>
          <w:ilvl w:val="0"/>
          <w:numId w:val="1012"/>
        </w:numPr>
      </w:pPr>
      <w:r>
        <w:t xml:space="preserve">Consensus estimates were revised lower shortly before the report. (</w:t>
      </w:r>
      <w:hyperlink r:id="rId27">
        <w:r>
          <w:rPr>
            <w:rStyle w:val="Hyperlink"/>
          </w:rPr>
          <w:t xml:space="preserve">zacks.com</w:t>
        </w:r>
      </w:hyperlink>
      <w:r>
        <w:t xml:space="preserve">)</w:t>
      </w:r>
    </w:p>
    <w:p>
      <w:pPr>
        <w:pStyle w:val="FirstParagraph"/>
      </w:pPr>
      <w:r>
        <w:t xml:space="preserve">The stock may therefore respond more to</w:t>
      </w:r>
      <w:r>
        <w:t xml:space="preserve"> </w:t>
      </w:r>
      <w:r>
        <w:rPr>
          <w:b/>
          <w:bCs/>
        </w:rPr>
        <w:t xml:space="preserve">guidance, Cadia’s recovery and buybacks</w:t>
      </w:r>
      <w:r>
        <w:t xml:space="preserve"> </w:t>
      </w:r>
      <w:r>
        <w:t xml:space="preserve">than to a small headline EPS beat or miss.</w:t>
      </w:r>
    </w:p>
    <w:p>
      <w:r>
        <w:pict>
          <v:rect style="width:0;height:1.5pt" o:hralign="center" o:hrstd="t" o:hr="t"/>
        </w:pict>
      </w:r>
    </w:p>
    <w:bookmarkEnd w:id="28"/>
    <w:bookmarkStart w:id="32" w:name="what-would-move-the-stock"/>
    <w:p>
      <w:pPr>
        <w:pStyle w:val="Heading2"/>
      </w:pPr>
      <w:r>
        <w:t xml:space="preserve">What would move the stock?</w:t>
      </w:r>
    </w:p>
    <w:bookmarkStart w:id="29" w:name="bullish-report"/>
    <w:p>
      <w:pPr>
        <w:pStyle w:val="Heading3"/>
      </w:pPr>
      <w:r>
        <w:t xml:space="preserve">Bullish report</w:t>
      </w:r>
    </w:p>
    <w:p>
      <w:pPr>
        <w:pStyle w:val="Compact"/>
        <w:numPr>
          <w:ilvl w:val="0"/>
          <w:numId w:val="1013"/>
        </w:numPr>
      </w:pPr>
      <w:r>
        <w:t xml:space="preserve">Production of roughly</w:t>
      </w:r>
      <w:r>
        <w:t xml:space="preserve"> </w:t>
      </w:r>
      <w:r>
        <w:rPr>
          <w:b/>
          <w:bCs/>
        </w:rPr>
        <w:t xml:space="preserve">1.2 Moz or better</w:t>
      </w:r>
    </w:p>
    <w:p>
      <w:pPr>
        <w:pStyle w:val="Compact"/>
        <w:numPr>
          <w:ilvl w:val="0"/>
          <w:numId w:val="1013"/>
        </w:numPr>
      </w:pPr>
      <w:r>
        <w:t xml:space="preserve">Full-year 5.26 Moz production guidance reaffirmed</w:t>
      </w:r>
    </w:p>
    <w:p>
      <w:pPr>
        <w:pStyle w:val="Compact"/>
        <w:numPr>
          <w:ilvl w:val="0"/>
          <w:numId w:val="1013"/>
        </w:numPr>
      </w:pPr>
      <w:r>
        <w:t xml:space="preserve">$1,680/oz AISC guidance reaffirmed without qualification</w:t>
      </w:r>
    </w:p>
    <w:p>
      <w:pPr>
        <w:pStyle w:val="Compact"/>
        <w:numPr>
          <w:ilvl w:val="0"/>
          <w:numId w:val="1013"/>
        </w:numPr>
      </w:pPr>
      <w:r>
        <w:t xml:space="preserve">Cadia back at full capacity</w:t>
      </w:r>
    </w:p>
    <w:p>
      <w:pPr>
        <w:pStyle w:val="Compact"/>
        <w:numPr>
          <w:ilvl w:val="0"/>
          <w:numId w:val="1013"/>
        </w:numPr>
      </w:pPr>
      <w:r>
        <w:t xml:space="preserve">Ahafo North ramping as planned</w:t>
      </w:r>
    </w:p>
    <w:p>
      <w:pPr>
        <w:pStyle w:val="Compact"/>
        <w:numPr>
          <w:ilvl w:val="0"/>
          <w:numId w:val="1013"/>
        </w:numPr>
      </w:pPr>
      <w:r>
        <w:t xml:space="preserve">Strong free cash flow despite higher capital spending</w:t>
      </w:r>
    </w:p>
    <w:p>
      <w:pPr>
        <w:pStyle w:val="Compact"/>
        <w:numPr>
          <w:ilvl w:val="0"/>
          <w:numId w:val="1013"/>
        </w:numPr>
      </w:pPr>
      <w:r>
        <w:t xml:space="preserve">Meaningful execution under the new $6 billion buyback</w:t>
      </w:r>
    </w:p>
    <w:p>
      <w:pPr>
        <w:pStyle w:val="Compact"/>
        <w:numPr>
          <w:ilvl w:val="0"/>
          <w:numId w:val="1013"/>
        </w:numPr>
      </w:pPr>
      <w:r>
        <w:t xml:space="preserve">Confident, specific H2 operating commentary</w:t>
      </w:r>
    </w:p>
    <w:bookmarkEnd w:id="29"/>
    <w:bookmarkStart w:id="30" w:name="mixed-report"/>
    <w:p>
      <w:pPr>
        <w:pStyle w:val="Heading3"/>
      </w:pPr>
      <w:r>
        <w:t xml:space="preserve">Mixed report</w:t>
      </w:r>
    </w:p>
    <w:p>
      <w:pPr>
        <w:pStyle w:val="Compact"/>
        <w:numPr>
          <w:ilvl w:val="0"/>
          <w:numId w:val="1014"/>
        </w:numPr>
      </w:pPr>
      <w:r>
        <w:t xml:space="preserve">EPS beats because of commodity pricing or share-count reduction</w:t>
      </w:r>
    </w:p>
    <w:p>
      <w:pPr>
        <w:pStyle w:val="Compact"/>
        <w:numPr>
          <w:ilvl w:val="0"/>
          <w:numId w:val="1014"/>
        </w:numPr>
      </w:pPr>
      <w:r>
        <w:t xml:space="preserve">Production is slightly light</w:t>
      </w:r>
    </w:p>
    <w:p>
      <w:pPr>
        <w:pStyle w:val="Compact"/>
        <w:numPr>
          <w:ilvl w:val="0"/>
          <w:numId w:val="1014"/>
        </w:numPr>
      </w:pPr>
      <w:r>
        <w:t xml:space="preserve">Costs rise sharply but remain consistent with annual guidance</w:t>
      </w:r>
    </w:p>
    <w:p>
      <w:pPr>
        <w:pStyle w:val="Compact"/>
        <w:numPr>
          <w:ilvl w:val="0"/>
          <w:numId w:val="1014"/>
        </w:numPr>
      </w:pPr>
      <w:r>
        <w:t xml:space="preserve">Management maintains guidance while acknowledging limited cushion</w:t>
      </w:r>
    </w:p>
    <w:bookmarkEnd w:id="30"/>
    <w:bookmarkStart w:id="31" w:name="bearish-report"/>
    <w:p>
      <w:pPr>
        <w:pStyle w:val="Heading3"/>
      </w:pPr>
      <w:r>
        <w:t xml:space="preserve">Bearish report</w:t>
      </w:r>
    </w:p>
    <w:p>
      <w:pPr>
        <w:pStyle w:val="Compact"/>
        <w:numPr>
          <w:ilvl w:val="0"/>
          <w:numId w:val="1015"/>
        </w:numPr>
      </w:pPr>
      <w:r>
        <w:t xml:space="preserve">Production materially below approximately 1.2 Moz</w:t>
      </w:r>
    </w:p>
    <w:p>
      <w:pPr>
        <w:pStyle w:val="Compact"/>
        <w:numPr>
          <w:ilvl w:val="0"/>
          <w:numId w:val="1015"/>
        </w:numPr>
      </w:pPr>
      <w:r>
        <w:t xml:space="preserve">Cadia recovery extends into Q3</w:t>
      </w:r>
    </w:p>
    <w:p>
      <w:pPr>
        <w:pStyle w:val="Compact"/>
        <w:numPr>
          <w:ilvl w:val="0"/>
          <w:numId w:val="1015"/>
        </w:numPr>
      </w:pPr>
      <w:r>
        <w:t xml:space="preserve">Higher operating costs compound the planned capital ramp</w:t>
      </w:r>
    </w:p>
    <w:p>
      <w:pPr>
        <w:pStyle w:val="Compact"/>
        <w:numPr>
          <w:ilvl w:val="0"/>
          <w:numId w:val="1015"/>
        </w:numPr>
      </w:pPr>
      <w:r>
        <w:t xml:space="preserve">Production guidance is reduced or AISC guidance is raised</w:t>
      </w:r>
    </w:p>
    <w:p>
      <w:pPr>
        <w:pStyle w:val="Compact"/>
        <w:numPr>
          <w:ilvl w:val="0"/>
          <w:numId w:val="1015"/>
        </w:numPr>
      </w:pPr>
      <w:r>
        <w:t xml:space="preserve">Weak cash conversion despite strong metal prices</w:t>
      </w:r>
    </w:p>
    <w:p>
      <w:pPr>
        <w:pStyle w:val="Compact"/>
        <w:numPr>
          <w:ilvl w:val="0"/>
          <w:numId w:val="1015"/>
        </w:numPr>
      </w:pPr>
      <w:r>
        <w:t xml:space="preserve">Buybacks slow without a clear capital-allocation explanation</w:t>
      </w:r>
    </w:p>
    <w:p>
      <w:pPr>
        <w:pStyle w:val="Compact"/>
        <w:numPr>
          <w:ilvl w:val="0"/>
          <w:numId w:val="1015"/>
        </w:numPr>
      </w:pPr>
      <w:r>
        <w:t xml:space="preserve">H2 targets become more dependent on aggressive grade or throughput assumptions</w:t>
      </w:r>
    </w:p>
    <w:bookmarkEnd w:id="31"/>
    <w:bookmarkEnd w:id="32"/>
    <w:bookmarkStart w:id="33" w:name="bottom-line"/>
    <w:p>
      <w:pPr>
        <w:pStyle w:val="Heading2"/>
      </w:pPr>
      <w:r>
        <w:t xml:space="preserve">Bottom line</w:t>
      </w:r>
    </w:p>
    <w:p>
      <w:pPr>
        <w:pStyle w:val="FirstParagraph"/>
      </w:pPr>
      <w:r>
        <w:t xml:space="preserve">Newmont’s Q2 headline numbers will almost certainly be weaker than its extraordinary first quarter. That is already expected. The investment question is whether Q2 represents a</w:t>
      </w:r>
      <w:r>
        <w:t xml:space="preserve"> </w:t>
      </w:r>
      <w:r>
        <w:rPr>
          <w:b/>
          <w:bCs/>
        </w:rPr>
        <w:t xml:space="preserve">planned seasonal trough</w:t>
      </w:r>
      <w:r>
        <w:t xml:space="preserve"> </w:t>
      </w:r>
      <w:r>
        <w:t xml:space="preserve">or the beginning of another period of operational slippage.</w:t>
      </w:r>
    </w:p>
    <w:p>
      <w:pPr>
        <w:pStyle w:val="BodyText"/>
      </w:pPr>
      <w:r>
        <w:t xml:space="preserve">The most constructive result would be roughly</w:t>
      </w:r>
      <w:r>
        <w:t xml:space="preserve"> </w:t>
      </w:r>
      <w:r>
        <w:rPr>
          <w:b/>
          <w:bCs/>
        </w:rPr>
        <w:t xml:space="preserve">1.2 million ounces of production, manageable cost inflation, robust free cash flow and unchanged full-year guidance</w:t>
      </w:r>
      <w:r>
        <w:t xml:space="preserve">. If Newmont delivers that combination—and demonstrates that Cadia is recovered and the H2 mine plan remains credible—the report should support the view that its strong balance sheet and buyback program can convert elevated gold margins into durable per-share value.</w:t>
      </w:r>
    </w:p>
    <w:p>
      <w:pPr>
        <w:pStyle w:val="BodyText"/>
      </w:pPr>
      <w:r>
        <w:t xml:space="preserve">The major risk is that higher costs, Ghana royalties and site-level disruptions consume the cushion created by strong commodity prices. In that case, even an adjusted EPS beat could prove less important than a weaker production or AISC outlook.</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investors.newmont.com/investors/news-release/news-details/2026/Newmont-Generates-Record-Quarterly-Earnings-and-Free-Cash-Flow-Reports-First-Quarter-2026-Results-and-Announces-Increased-Share-Repurchase-Authorization/default.aspx?utm_source=openai" TargetMode="External" /><Relationship Type="http://schemas.openxmlformats.org/officeDocument/2006/relationships/hyperlink" Id="rId11" Target="https://www.benzinga.com/quote/NEM/earnings?utm_source=openai" TargetMode="External" /><Relationship Type="http://schemas.openxmlformats.org/officeDocument/2006/relationships/hyperlink" Id="rId25" Target="https://www.newmont.com/investors/news-release/news-details/2026/Newmont-Announces-Key-Executive-Appointments-for-the-Next-Phase-of-Delivery/default.aspx?utm_source=openai" TargetMode="External" /><Relationship Type="http://schemas.openxmlformats.org/officeDocument/2006/relationships/hyperlink" Id="rId9" Target="https://www.newmont.com/investors/news-release/news-details/2026/Newmont-Announces-Second-Quarter-2026-Results-Conference-Call/default.aspx?utm_source=openai" TargetMode="External" /><Relationship Type="http://schemas.openxmlformats.org/officeDocument/2006/relationships/hyperlink" Id="rId12" Target="https://www.newmont.com/investors/news-release/news-details/2026/Newmont-Generates-Record-Quarterly-Earnings-and-Free-Cash-Flow-Reports-First-Quarter-2026-Results-and-Announces-Increased-Share-Repurchase-Authorization/default.aspx?utm_source=openai" TargetMode="External" /><Relationship Type="http://schemas.openxmlformats.org/officeDocument/2006/relationships/hyperlink" Id="rId14" Target="https://www.newmont.com/investors/news-release/news-details/2026/Update-on-Cadia-Operations-2026-YTUpXnFfd8/default.aspx?utm_source=openai" TargetMode="External" /><Relationship Type="http://schemas.openxmlformats.org/officeDocument/2006/relationships/hyperlink" Id="rId27" Target="https://www.zacks.com/stock/news/2955893/newmont-corporation-nem-sees-a-more-significant-dip-than-broader-market-some-facts-to-know?art_rec=blog-tale_of_the_tape-up_next-ID01-img-2955893&amp;utm_source=openai" TargetMode="External" /></Relationships>
</file>

<file path=word/_rels/footnotes.xml.rels><?xml version="1.0" encoding="UTF-8"?><Relationships xmlns="http://schemas.openxmlformats.org/package/2006/relationships"><Relationship Type="http://schemas.openxmlformats.org/officeDocument/2006/relationships/hyperlink" Id="rId21" Target="https://investors.newmont.com/investors/news-release/news-details/2026/Newmont-Generates-Record-Quarterly-Earnings-and-Free-Cash-Flow-Reports-First-Quarter-2026-Results-and-Announces-Increased-Share-Repurchase-Authorization/default.aspx?utm_source=openai" TargetMode="External" /><Relationship Type="http://schemas.openxmlformats.org/officeDocument/2006/relationships/hyperlink" Id="rId11" Target="https://www.benzinga.com/quote/NEM/earnings?utm_source=openai" TargetMode="External" /><Relationship Type="http://schemas.openxmlformats.org/officeDocument/2006/relationships/hyperlink" Id="rId25" Target="https://www.newmont.com/investors/news-release/news-details/2026/Newmont-Announces-Key-Executive-Appointments-for-the-Next-Phase-of-Delivery/default.aspx?utm_source=openai" TargetMode="External" /><Relationship Type="http://schemas.openxmlformats.org/officeDocument/2006/relationships/hyperlink" Id="rId9" Target="https://www.newmont.com/investors/news-release/news-details/2026/Newmont-Announces-Second-Quarter-2026-Results-Conference-Call/default.aspx?utm_source=openai" TargetMode="External" /><Relationship Type="http://schemas.openxmlformats.org/officeDocument/2006/relationships/hyperlink" Id="rId12" Target="https://www.newmont.com/investors/news-release/news-details/2026/Newmont-Generates-Record-Quarterly-Earnings-and-Free-Cash-Flow-Reports-First-Quarter-2026-Results-and-Announces-Increased-Share-Repurchase-Authorization/default.aspx?utm_source=openai" TargetMode="External" /><Relationship Type="http://schemas.openxmlformats.org/officeDocument/2006/relationships/hyperlink" Id="rId14" Target="https://www.newmont.com/investors/news-release/news-details/2026/Update-on-Cadia-Operations-2026-YTUpXnFfd8/default.aspx?utm_source=openai" TargetMode="External" /><Relationship Type="http://schemas.openxmlformats.org/officeDocument/2006/relationships/hyperlink" Id="rId27" Target="https://www.zacks.com/stock/news/2955893/newmont-corporation-nem-sees-a-more-significant-dip-than-broader-market-some-facts-to-know?art_rec=blog-tale_of_the_tape-up_next-ID01-img-2955893&am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2026-07-23T01:11:35Z</dcterms:created>
  <dcterms:modified xsi:type="dcterms:W3CDTF">2026-07-23T01:11:35Z</dcterms:modified>
</cp:coreProperties>
</file>

<file path=docProps/custom.xml><?xml version="1.0" encoding="utf-8"?>
<Properties xmlns="http://schemas.openxmlformats.org/officeDocument/2006/custom-properties" xmlns:vt="http://schemas.openxmlformats.org/officeDocument/2006/docPropsVTypes"/>
</file>