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em-earnings-predictions--2026-07-23"/>
    <w:p>
      <w:pPr>
        <w:pStyle w:val="Heading1"/>
      </w:pPr>
      <w:r>
        <w:t xml:space="preserve">NEM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~$2.15 vs. cons $2.18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Gold by-product AISC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620</m:t>
              </m:r>
              <m:r>
                <m:rPr>
                  <m:sty m:val="p"/>
                </m:rPr>
                <m:t>/</m:t>
              </m:r>
              <m:r>
                <m:t>o</m:t>
              </m:r>
              <m:r>
                <m:t>z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1,570/oz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2.05</m:t>
              </m:r>
              <m:r>
                <m:t>b</m:t>
              </m:r>
              <m:r>
                <m:t>n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2.18bn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attributable gold production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~5.26Moz vs. cons 5.25Moz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gold by-product AISC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710</m:t>
              </m:r>
              <m:r>
                <m:rPr>
                  <m:sty m:val="p"/>
                </m:rPr>
                <m:t>/</m:t>
              </m:r>
              <m:r>
                <m:t>o</m:t>
              </m:r>
              <m:r>
                <m:t>z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1,680/oz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sustaining capital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1.95</m:t>
              </m:r>
              <m:r>
                <m:t>b</m:t>
              </m:r>
              <m:r>
                <m:t>n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1.95bn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Cadia operating-capacity recovery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~100% capacity vs. cons ~100% capacity (3Q26 exit)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Day-1 residual ~-2.8% vs. a 0.0% S&amp;P 500 benchmark; 5-day residual ~-4.5% vs. a 0.0% benchmark. The EPS/FCF shortfall is likely treated as more than a seasonal 2Q trough if FY26 AISC moves to roughly</w:t>
            </w:r>
            <w:r>
              <w:t xml:space="preserve"> </w:t>
            </w: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710</m:t>
              </m:r>
              <m:r>
                <m:rPr>
                  <m:sty m:val="p"/>
                </m:rPr>
                <m:t>/</m:t>
              </m:r>
              <m:r>
                <m:t>o</m:t>
              </m:r>
              <m:r>
                <m:t>z</m:t>
              </m:r>
              <m:r>
                <m:t>f</m:t>
              </m:r>
              <m:r>
                <m:t>r</m:t>
              </m:r>
              <m:r>
                <m:t>o</m:t>
              </m:r>
              <m:r>
                <m:t>m</m:t>
              </m:r>
              <m:r>
                <m:t> </m:t>
              </m:r>
            </m:oMath>
            <w:r>
              <w:t xml:space="preserve">1,680/oz, because that implies modest downward FY26 and 2027 free-cash-flow revisions despite production guidance near 5.26Moz.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2026-07-23T01:09:49Z</dcterms:created>
  <dcterms:modified xsi:type="dcterms:W3CDTF">2026-07-23T01:09:49Z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