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newmont-nyse-nem--2q26-earnings-preview"/>
    <w:p>
      <w:pPr>
        <w:pStyle w:val="Heading1"/>
      </w:pPr>
      <w:r>
        <w:t xml:space="preserve">Newmont (NYSE: NEM)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Newmont reports</w:t>
      </w:r>
      <w:r>
        <w:t xml:space="preserve"> </w:t>
      </w:r>
      <w:r>
        <w:rPr>
          <w:b/>
          <w:bCs/>
        </w:rPr>
        <w:t xml:space="preserve">after the North American market close today, Thursday, July 23, 2026</w:t>
      </w:r>
      <w:r>
        <w:t xml:space="preserve">, not tomorrow. The results call is scheduled for</w:t>
      </w:r>
      <w:r>
        <w:t xml:space="preserve"> </w:t>
      </w:r>
      <w:r>
        <w:rPr>
          <w:b/>
          <w:bCs/>
        </w:rPr>
        <w:t xml:space="preserve">5:30 p.m. ET</w:t>
      </w:r>
      <w:r>
        <w:t xml:space="preserve">. (</w:t>
      </w:r>
      <w:hyperlink r:id="rId9">
        <w:r>
          <w:rPr>
            <w:rStyle w:val="Hyperlink"/>
          </w:rPr>
          <w:t xml:space="preserve">newmont.com</w:t>
        </w:r>
      </w:hyperlink>
      <w:r>
        <w:t xml:space="preserve">)</w:t>
      </w:r>
    </w:p>
    <w:bookmarkStart w:id="10" w:name="Xedc29fa2acdb24db6d6e72fcdcae0101b1cb954"/>
    <w:p>
      <w:pPr>
        <w:pStyle w:val="Heading2"/>
      </w:pPr>
      <w:r>
        <w:t xml:space="preserve">Investment view: the quarter is set up as a deliberate operational and cost trough</w:t>
      </w:r>
    </w:p>
    <w:p>
      <w:pPr>
        <w:pStyle w:val="FirstParagraph"/>
      </w:pPr>
      <w:r>
        <w:t xml:space="preserve">Newmont enters 2Q with an unusually clear setup: management explicitly guided to</w:t>
      </w:r>
      <w:r>
        <w:t xml:space="preserve"> </w:t>
      </w:r>
      <w:r>
        <w:rPr>
          <w:b/>
          <w:bCs/>
        </w:rPr>
        <w:t xml:space="preserve">slightly lower production and notably higher unit costs than in 1Q</w:t>
      </w:r>
      <w:r>
        <w:t xml:space="preserve">, principally due to Cadia’s temporary disruption, lower silver output at Peñasquito, mine sequencing, and a planned ramp in sustaining and development capital. Thus, the key issue is not whether 2Q free cash flow declines from the record 1Q level—it almost certainly should—but whether Newmont can</w:t>
      </w:r>
      <w:r>
        <w:t xml:space="preserve"> </w:t>
      </w:r>
      <w:r>
        <w:rPr>
          <w:b/>
          <w:bCs/>
        </w:rPr>
        <w:t xml:space="preserve">reaffirm full-year guidance and preserve the expected 2H operational recovery</w:t>
      </w:r>
      <w:r>
        <w:t xml:space="preserve">.</w:t>
      </w:r>
    </w:p>
    <w:p>
      <w:pPr>
        <w:pStyle w:val="BodyText"/>
      </w:pPr>
      <w:r>
        <w:t xml:space="preserve">The central bullish argument remains intact: the company pairs a large, diversified gold portfolio with strong commodity-price leverage, a net-cash balance sheet, and a capital-allocation model designed to direct residual cash toward ongoing repurchases. The key near-term risk is that temporary operating interruptions and cost inflation shift from being planned and manageable into a broader guidance issue.</w:t>
      </w:r>
    </w:p>
    <w:bookmarkEnd w:id="10"/>
    <w:bookmarkStart w:id="12" w:name="what-investors-should-expect"/>
    <w:p>
      <w:pPr>
        <w:pStyle w:val="Heading2"/>
      </w:pPr>
      <w:r>
        <w:t xml:space="preserve">What investors should expect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 / topic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2Q26 setup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Attributable gold production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1.30 Moz</w:t>
            </w:r>
          </w:p>
        </w:tc>
        <w:tc>
          <w:tcPr/>
          <w:p>
            <w:pPr>
              <w:pStyle w:val="Compact"/>
            </w:pPr>
            <w:r>
              <w:t xml:space="preserve">Management indicated 2Q would represent about</w:t>
            </w:r>
            <w:r>
              <w:t xml:space="preserve"> </w:t>
            </w:r>
            <w:r>
              <w:rPr>
                <w:b/>
                <w:bCs/>
              </w:rPr>
              <w:t xml:space="preserve">23% of FY26 production</w:t>
            </w:r>
            <w:r>
              <w:t xml:space="preserve">, or roughly</w:t>
            </w:r>
            <w:r>
              <w:t xml:space="preserve"> </w:t>
            </w:r>
            <w:r>
              <w:rPr>
                <w:b/>
                <w:bCs/>
              </w:rPr>
              <w:t xml:space="preserve">1.21 Moz</w:t>
            </w:r>
            <w:r>
              <w:t xml:space="preserve">, and be modestly below 1Q. (</w:t>
            </w:r>
            <w:hyperlink r:id="rId11">
              <w:r>
                <w:rPr>
                  <w:rStyle w:val="Hyperlink"/>
                </w:rPr>
                <w:t xml:space="preserve">newmont.com</w:t>
              </w:r>
            </w:hyperlink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Gold by-product AISC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$1,029/oz</w:t>
            </w:r>
          </w:p>
        </w:tc>
        <w:tc>
          <w:tcPr/>
          <w:p>
            <w:pPr>
              <w:pStyle w:val="Compact"/>
            </w:pPr>
            <w:r>
              <w:t xml:space="preserve">Expected to be</w:t>
            </w:r>
            <w:r>
              <w:t xml:space="preserve"> </w:t>
            </w:r>
            <w:r>
              <w:rPr>
                <w:b/>
                <w:bCs/>
              </w:rPr>
              <w:t xml:space="preserve">notably higher</w:t>
            </w:r>
            <w:r>
              <w:t xml:space="preserve"> </w:t>
            </w:r>
            <w:r>
              <w:t xml:space="preserve">sequentially, reflecting higher sustaining capital, lower silver production, and higher CAS.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Record $3.14bn</w:t>
            </w:r>
          </w:p>
        </w:tc>
        <w:tc>
          <w:tcPr/>
          <w:p>
            <w:pPr>
              <w:pStyle w:val="Compact"/>
            </w:pPr>
            <w:r>
              <w:t xml:space="preserve">Should decline sequentially as capital spending ramps; the more relevant question is whether cash generation remains robust enough to support buybacks and the balance-sheet framework.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production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5.26 Moz</w:t>
            </w:r>
          </w:p>
        </w:tc>
        <w:tc>
          <w:tcPr/>
          <w:p>
            <w:pPr>
              <w:pStyle w:val="Compact"/>
            </w:pPr>
            <w:r>
              <w:t xml:space="preserve">A reaffirmation is the primary operational test. (</w:t>
            </w:r>
            <w:hyperlink r:id="rId11">
              <w:r>
                <w:rPr>
                  <w:rStyle w:val="Hyperlink"/>
                </w:rPr>
                <w:t xml:space="preserve">newmont.com</w:t>
              </w:r>
            </w:hyperlink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returns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$6bn new authorization</w:t>
            </w:r>
          </w:p>
        </w:tc>
        <w:tc>
          <w:tcPr/>
          <w:p>
            <w:pPr>
              <w:pStyle w:val="Compact"/>
            </w:pPr>
            <w:r>
              <w:t xml:space="preserve">Investors will look for evidence that repurchases continued at a meaningful pace during the quarter. (</w:t>
            </w:r>
            <w:hyperlink r:id="rId11">
              <w:r>
                <w:rPr>
                  <w:rStyle w:val="Hyperlink"/>
                </w:rPr>
                <w:t xml:space="preserve">newmont.com</w:t>
              </w:r>
            </w:hyperlink>
            <w:r>
              <w:t xml:space="preserve">)</w:t>
            </w:r>
          </w:p>
        </w:tc>
      </w:tr>
    </w:tbl>
    <w:bookmarkEnd w:id="12"/>
    <w:bookmarkStart w:id="16" w:name="the-operational-scorecard"/>
    <w:p>
      <w:pPr>
        <w:pStyle w:val="Heading2"/>
      </w:pPr>
      <w:r>
        <w:t xml:space="preserve">The operational scorecard</w:t>
      </w:r>
    </w:p>
    <w:bookmarkStart w:id="13" w:name="X27dfa5539758ad77a1267b3d9fbff0e70d9e39a"/>
    <w:p>
      <w:pPr>
        <w:pStyle w:val="Heading3"/>
      </w:pPr>
      <w:r>
        <w:t xml:space="preserve">1. Cadia is the most important site-level variable</w:t>
      </w:r>
    </w:p>
    <w:p>
      <w:pPr>
        <w:pStyle w:val="FirstParagraph"/>
      </w:pPr>
      <w:r>
        <w:t xml:space="preserve">Cadia suffered a magnitude 4.5 earthquake in April. Management’s prior expectation was for underground rehabilitation to enable a return to roughly 80% operating capacity within five weeks and full capacity by the end of 2Q. The operation was expected to process surface stockpiles during the outage, but management had already flagged a shortfall in mill feed and lower 2Q production.</w:t>
      </w:r>
    </w:p>
    <w:p>
      <w:pPr>
        <w:pStyle w:val="BodyText"/>
      </w:pPr>
      <w:r>
        <w:t xml:space="preserve">The earnings release should answer three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Cadia return to full operating capacity by quarter-end?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the production impact contained to the previously described period?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Has the incident changed any 2H production, grade, or sustaining-capital assumptions?</w:t>
      </w:r>
    </w:p>
    <w:p>
      <w:pPr>
        <w:pStyle w:val="FirstParagraph"/>
      </w:pPr>
      <w:r>
        <w:t xml:space="preserve">A clean recovery matters beyond 2Q. Cadia is a major gold-and-copper asset, and its copper by-product credits are meaningful to Newmont’s consolidated cost structure.</w:t>
      </w:r>
    </w:p>
    <w:bookmarkEnd w:id="13"/>
    <w:bookmarkStart w:id="14" w:name="X33c76972136c4586188d12b4e89f51a1ccd4c9d"/>
    <w:p>
      <w:pPr>
        <w:pStyle w:val="Heading3"/>
      </w:pPr>
      <w:r>
        <w:t xml:space="preserve">2. A planned weak quarter must remain a planned weak quarter</w:t>
      </w:r>
    </w:p>
    <w:p>
      <w:pPr>
        <w:pStyle w:val="FirstParagraph"/>
      </w:pPr>
      <w:r>
        <w:t xml:space="preserve">Management framed 2026 as</w:t>
      </w:r>
      <w:r>
        <w:t xml:space="preserve"> </w:t>
      </w:r>
      <w:r>
        <w:rPr>
          <w:b/>
          <w:bCs/>
        </w:rPr>
        <w:t xml:space="preserve">48% weighted to the first half and 52% to the second half</w:t>
      </w:r>
      <w:r>
        <w:t xml:space="preserve">, with 2Q expected to be the lower point. The expected 2H improvement is tied to higher output from Boddington, Tanami, Lihir, Cerro Negro and Peñasquito, as well as a sequential ramp at Ahafo North.</w:t>
      </w:r>
    </w:p>
    <w:p>
      <w:pPr>
        <w:pStyle w:val="BodyText"/>
      </w:pPr>
      <w:r>
        <w:t xml:space="preserve">In 2Q, the operational headwinds already telegraphed were: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Cadia:</w:t>
      </w:r>
      <w:r>
        <w:t xml:space="preserve"> </w:t>
      </w:r>
      <w:r>
        <w:t xml:space="preserve">temporary underground interruption;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Ahafo South:</w:t>
      </w:r>
      <w:r>
        <w:t xml:space="preserve"> </w:t>
      </w:r>
      <w:r>
        <w:t xml:space="preserve">lower grades after depletion of Subika open-pit stockpiles;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Peñasquito:</w:t>
      </w:r>
      <w:r>
        <w:t xml:space="preserve"> </w:t>
      </w:r>
      <w:r>
        <w:t xml:space="preserve">processing of organic-carbon material and lower silver production;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Capital:</w:t>
      </w:r>
      <w:r>
        <w:t xml:space="preserve"> </w:t>
      </w:r>
      <w:r>
        <w:t xml:space="preserve">a seasonal ramp in sustaining work at Canadian sites plus tailings-related spending at Cadia, Boddington and Tanami.</w:t>
      </w:r>
    </w:p>
    <w:p>
      <w:pPr>
        <w:pStyle w:val="FirstParagraph"/>
      </w:pPr>
      <w:r>
        <w:t xml:space="preserve">Consequently, a modest production decline is not itself bearish. The downside case would be lower output</w:t>
      </w:r>
      <w:r>
        <w:t xml:space="preserve"> </w:t>
      </w:r>
      <w:r>
        <w:rPr>
          <w:b/>
          <w:bCs/>
        </w:rPr>
        <w:t xml:space="preserve">plus</w:t>
      </w:r>
      <w:r>
        <w:t xml:space="preserve"> </w:t>
      </w:r>
      <w:r>
        <w:t xml:space="preserve">a change to the 2H recovery narrative.</w:t>
      </w:r>
    </w:p>
    <w:bookmarkEnd w:id="14"/>
    <w:bookmarkStart w:id="15" w:name="Xd13ff4bb36371ac6a91aa9ebdc2fd3dc3611d96"/>
    <w:p>
      <w:pPr>
        <w:pStyle w:val="Heading3"/>
      </w:pPr>
      <w:r>
        <w:t xml:space="preserve">3. Boddington, Tanami and Lihir provide important confirmation points</w:t>
      </w:r>
    </w:p>
    <w:p>
      <w:pPr>
        <w:pStyle w:val="FirstParagraph"/>
      </w:pPr>
      <w:r>
        <w:t xml:space="preserve">Newmont said that Boddington had returned to normal throughput after the 1Q bushfire disruption. It also expected Tanami Expansion 2’s materials-handling system to be completed by the end of 2Q. Investors should look for confirmation of both milestones.</w:t>
      </w:r>
    </w:p>
    <w:p>
      <w:pPr>
        <w:pStyle w:val="BodyText"/>
      </w:pPr>
      <w:r>
        <w:t xml:space="preserve">At Lihir, the medium-term narrative depends on reaching higher-grade areas and advancing the Nearshore Barrier work. The company has indicated that material spending on the barrier begins in 2H; investors should therefore focus less on a 2Q project-spend step-up and more on scope, timing, permitting, and future capital commentary.</w:t>
      </w:r>
    </w:p>
    <w:bookmarkEnd w:id="15"/>
    <w:bookmarkEnd w:id="16"/>
    <w:bookmarkStart w:id="19" w:name="X8bf79490261ea90d1e6fbcee2ebff4aa814e8a6"/>
    <w:p>
      <w:pPr>
        <w:pStyle w:val="Heading2"/>
      </w:pPr>
      <w:r>
        <w:t xml:space="preserve">Costs: a reset is expected, but the magnitude matters</w:t>
      </w:r>
    </w:p>
    <w:p>
      <w:pPr>
        <w:pStyle w:val="FirstParagraph"/>
      </w:pPr>
      <w:r>
        <w:t xml:space="preserve">Newmont’s 1Q by-product AISC of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029</m:t>
        </m:r>
        <m:r>
          <m:rPr>
            <m:sty m:val="p"/>
          </m:rPr>
          <m:t>/</m:t>
        </m:r>
        <m:r>
          <m:t>o</m:t>
        </m:r>
        <m:r>
          <m:t>z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a</m:t>
        </m:r>
        <m:r>
          <m:t>s</m:t>
        </m:r>
        <m:r>
          <m:t>e</m:t>
        </m:r>
        <m:r>
          <m:t>x</m:t>
        </m:r>
        <m:r>
          <m:t>c</m:t>
        </m:r>
        <m:r>
          <m:t>e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t>l</m:t>
        </m:r>
        <m:r>
          <m:t>y</m:t>
        </m:r>
        <m:r>
          <m:t>l</m:t>
        </m:r>
        <m:r>
          <m:t>o</m:t>
        </m:r>
        <m:r>
          <m:t>w</m:t>
        </m:r>
        <m:r>
          <m:t>r</m:t>
        </m:r>
        <m:r>
          <m:t>e</m:t>
        </m:r>
        <m:r>
          <m:t>l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t</m:t>
        </m:r>
        <m:r>
          <m:t>o</m:t>
        </m:r>
        <m:r>
          <m:t>i</m:t>
        </m:r>
        <m:r>
          <m:t>t</m:t>
        </m:r>
        <m:r>
          <m:t>s</m:t>
        </m:r>
        <m:r>
          <m:t>F</m:t>
        </m:r>
        <m:r>
          <m:t>Y</m:t>
        </m:r>
        <m:r>
          <m:t>26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1,680/oz</w:t>
      </w:r>
      <w:r>
        <w:t xml:space="preserve">. The 1Q outcome benefited from strong silver and copper contribution, favorable co-product volumes, and temporarily low sustaining-capital spend. Management clearly warned that 2Q AISC would move materially higher as those factors reverse. (</w:t>
      </w:r>
      <w:hyperlink r:id="rId11">
        <w:r>
          <w:rPr>
            <w:rStyle w:val="Hyperlink"/>
          </w:rPr>
          <w:t xml:space="preserve">newmont.com</w:t>
        </w:r>
      </w:hyperlink>
      <w:r>
        <w:t xml:space="preserve">)</w:t>
      </w:r>
    </w:p>
    <w:p>
      <w:pPr>
        <w:pStyle w:val="BodyText"/>
      </w:pPr>
      <w:r>
        <w:t xml:space="preserve">The most constructive outcome would be:</w:t>
      </w:r>
    </w:p>
    <w:p>
      <w:pPr>
        <w:pStyle w:val="Compact"/>
        <w:numPr>
          <w:ilvl w:val="0"/>
          <w:numId w:val="1003"/>
        </w:numPr>
      </w:pPr>
      <w:r>
        <w:t xml:space="preserve">a substantial sequential AISC increase,</w:t>
      </w:r>
      <w:r>
        <w:t xml:space="preserve"> </w:t>
      </w:r>
      <w:r>
        <w:rPr>
          <w:b/>
          <w:bCs/>
        </w:rPr>
        <w:t xml:space="preserve">but still consistent with annual guidance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no revision to the $1.95bn sustaining-capital or $1.4bn development-capital plans;</w:t>
      </w:r>
    </w:p>
    <w:p>
      <w:pPr>
        <w:pStyle w:val="Compact"/>
        <w:numPr>
          <w:ilvl w:val="0"/>
          <w:numId w:val="1003"/>
        </w:numPr>
      </w:pPr>
      <w:r>
        <w:t xml:space="preserve">evidence that productivity initiatives are offsetting inflation and higher royalties.</w:t>
      </w:r>
    </w:p>
    <w:bookmarkStart w:id="18" w:name="oil-is-a-material-incremental-watch-item"/>
    <w:p>
      <w:pPr>
        <w:pStyle w:val="Heading3"/>
      </w:pPr>
      <w:r>
        <w:t xml:space="preserve">Oil is a material incremental watch item</w:t>
      </w:r>
    </w:p>
    <w:p>
      <w:pPr>
        <w:pStyle w:val="FirstParagraph"/>
      </w:pPr>
      <w:r>
        <w:t xml:space="preserve">Newmont’s FY26 framework used a</w:t>
      </w:r>
      <w:r>
        <w:t xml:space="preserve"> </w:t>
      </w:r>
      <w:r>
        <w:rPr>
          <w:b/>
          <w:bCs/>
        </w:rPr>
        <w:t xml:space="preserve">$70/bbl Brent</w:t>
      </w:r>
      <w:r>
        <w:t xml:space="preserve"> </w:t>
      </w:r>
      <w:r>
        <w:t xml:space="preserve">assumption. In its 1Q call, management quantified that every</w:t>
      </w:r>
      <w:r>
        <w:t xml:space="preserve"> </w:t>
      </w:r>
      <m:oMath>
        <m:r>
          <m:t>10</m:t>
        </m:r>
        <m:r>
          <m:rPr>
            <m:sty m:val="p"/>
          </m:rPr>
          <m:t>/</m:t>
        </m:r>
        <m:r>
          <m:t>b</m:t>
        </m:r>
        <m:r>
          <m:t>b</m:t>
        </m:r>
        <m:r>
          <m:t>l</m:t>
        </m:r>
        <m:r>
          <m:t>m</m:t>
        </m:r>
        <m:r>
          <m:t>o</m:t>
        </m:r>
        <m:r>
          <m:t>v</m:t>
        </m:r>
        <m:r>
          <m:t>e</m:t>
        </m:r>
        <m:r>
          <m:t>i</m:t>
        </m:r>
        <m:r>
          <m:t>n</m:t>
        </m:r>
        <m:r>
          <m:t>o</m:t>
        </m:r>
        <m:r>
          <m:t>i</m:t>
        </m:r>
        <m:r>
          <m:t>l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60m of cost impact**, or approximately</w:t>
      </w:r>
      <w:r>
        <w:t xml:space="preserve"> </w:t>
      </w:r>
      <w:r>
        <w:rPr>
          <w:b/>
          <w:bCs/>
        </w:rPr>
        <w:t xml:space="preserve">$12/oz of AISC</w:t>
      </w:r>
      <w:r>
        <w:t xml:space="preserve">, before mitigation. Brent moved above $95/bbl this week amid renewed supply-route concerns. (</w:t>
      </w:r>
      <w:hyperlink r:id="rId17">
        <w:r>
          <w:rPr>
            <w:rStyle w:val="Hyperlink"/>
          </w:rPr>
          <w:t xml:space="preserve">live.euronext.com</w:t>
        </w:r>
      </w:hyperlink>
      <w:r>
        <w:t xml:space="preserve">)</w:t>
      </w:r>
    </w:p>
    <w:p>
      <w:pPr>
        <w:pStyle w:val="BodyText"/>
      </w:pPr>
      <w:r>
        <w:t xml:space="preserve">If a ~</w:t>
      </w:r>
      <m:oMath>
        <m:r>
          <m:t>26</m:t>
        </m:r>
        <m:r>
          <m:rPr>
            <m:sty m:val="p"/>
          </m:rPr>
          <m:t>/</m:t>
        </m:r>
        <m:r>
          <m:t>b</m:t>
        </m:r>
        <m:r>
          <m:t>b</m:t>
        </m:r>
        <m:r>
          <m:t>l</m:t>
        </m:r>
        <m:r>
          <m:t>p</m:t>
        </m:r>
        <m:r>
          <m:t>r</m:t>
        </m:r>
        <m:r>
          <m:t>e</m:t>
        </m:r>
        <m:r>
          <m:t>m</m:t>
        </m:r>
        <m:r>
          <m:t>i</m:t>
        </m:r>
        <m:r>
          <m:t>u</m:t>
        </m:r>
        <m:r>
          <m:t>m</m:t>
        </m:r>
        <m:r>
          <m:t>t</m:t>
        </m:r>
        <m:r>
          <m:t>o</m:t>
        </m:r>
        <m:r>
          <m:t>N</m:t>
        </m:r>
        <m:r>
          <m:t>e</m:t>
        </m:r>
        <m:r>
          <m:t>w</m:t>
        </m:r>
        <m:r>
          <m:t>m</m:t>
        </m:r>
        <m:r>
          <m:t>o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p</m:t>
        </m:r>
        <m:r>
          <m:t>l</m:t>
        </m:r>
        <m:r>
          <m:t>a</m:t>
        </m:r>
        <m:r>
          <m:t>n</m:t>
        </m:r>
        <m:r>
          <m:t>n</m:t>
        </m:r>
        <m:r>
          <m:t>i</m:t>
        </m:r>
        <m:r>
          <m:t>n</m:t>
        </m:r>
        <m:r>
          <m:t>g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w</m:t>
        </m:r>
        <m:r>
          <m:t>e</m:t>
        </m:r>
        <m:r>
          <m:t>r</m:t>
        </m:r>
        <m:r>
          <m:t>e</m:t>
        </m:r>
        <m:r>
          <m:t>s</m:t>
        </m:r>
        <m:r>
          <m:t>u</m:t>
        </m:r>
        <m:r>
          <m:t>s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rPr>
            <m:sty m:val="p"/>
          </m:rPr>
          <m:t>,</m:t>
        </m:r>
        <m:r>
          <m:t>a</m:t>
        </m:r>
        <m:r>
          <m:t>s</m:t>
        </m:r>
        <m:r>
          <m:t>i</m:t>
        </m:r>
        <m:r>
          <m:t>m</m:t>
        </m:r>
        <m:r>
          <m:t>p</m:t>
        </m:r>
        <m:r>
          <m:t>l</m:t>
        </m:r>
        <m:r>
          <m:t>e</m:t>
        </m:r>
        <m:r>
          <m:t>a</m:t>
        </m:r>
        <m:r>
          <m:t>p</m:t>
        </m:r>
        <m:r>
          <m:t>p</m:t>
        </m:r>
        <m:r>
          <m:t>l</m:t>
        </m:r>
        <m:r>
          <m:t>i</m:t>
        </m:r>
        <m:r>
          <m:t>c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s</m:t>
        </m:r>
        <m:r>
          <m:t>e</m:t>
        </m:r>
        <m:r>
          <m:t>n</m:t>
        </m:r>
        <m:r>
          <m:t>s</m:t>
        </m:r>
        <m:r>
          <m:t>i</m:t>
        </m:r>
        <m:r>
          <m:t>t</m:t>
        </m:r>
        <m:r>
          <m:t>i</m:t>
        </m:r>
        <m:r>
          <m:t>v</m:t>
        </m:r>
        <m:r>
          <m:t>i</m:t>
        </m:r>
        <m:r>
          <m:t>t</m:t>
        </m:r>
        <m:r>
          <m:t>y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156m of annual pre-tax cost pressure**, or about</w:t>
      </w:r>
      <w:r>
        <w:t xml:space="preserve"> </w:t>
      </w:r>
      <w:r>
        <w:rPr>
          <w:b/>
          <w:bCs/>
        </w:rPr>
        <w:t xml:space="preserve">$32/oz</w:t>
      </w:r>
      <w:r>
        <w:t xml:space="preserve"> </w:t>
      </w:r>
      <w:r>
        <w:t xml:space="preserve">on 4.9 Moz of guided gold sales. This is an illustrative sensitivity—not a forecast—because Newmont can mitigate some exposure through productivity, procurement, currency effects, timing, and other offsets.</w:t>
      </w:r>
    </w:p>
    <w:p>
      <w:pPr>
        <w:pStyle w:val="BodyText"/>
      </w:pPr>
      <w:r>
        <w:t xml:space="preserve">In addition, the new Ghana royalty regime was expected to add approximately</w:t>
      </w:r>
      <w:r>
        <w:t xml:space="preserve"> </w:t>
      </w:r>
      <w:r>
        <w:rPr>
          <w:b/>
          <w:bCs/>
        </w:rPr>
        <w:t xml:space="preserve">$25/oz</w:t>
      </w:r>
      <w:r>
        <w:t xml:space="preserve"> </w:t>
      </w:r>
      <w:r>
        <w:t xml:space="preserve">to consolidated AISC in 2026, an impact not included in original guidance. Commentary on cost offsets in Ghana will be important.</w:t>
      </w:r>
    </w:p>
    <w:bookmarkEnd w:id="18"/>
    <w:bookmarkEnd w:id="19"/>
    <w:bookmarkStart w:id="20" w:name="X0f92dc0de8e3129314b5b1ca5568b8a0568ad6a"/>
    <w:p>
      <w:pPr>
        <w:pStyle w:val="Heading2"/>
      </w:pPr>
      <w:r>
        <w:t xml:space="preserve">Free cash flow and capital allocation: the core equity debate</w:t>
      </w:r>
    </w:p>
    <w:p>
      <w:pPr>
        <w:pStyle w:val="FirstParagraph"/>
      </w:pPr>
      <w:r>
        <w:t xml:space="preserve">Newmont generated record</w:t>
      </w:r>
      <w:r>
        <w:t xml:space="preserve"> </w:t>
      </w:r>
      <m:oMath>
        <m:r>
          <m:t>3.1</m:t>
        </m:r>
        <m:r>
          <m:t>b</m:t>
        </m:r>
        <m:r>
          <m:t>n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8.8bn of cash</w:t>
      </w:r>
      <w:r>
        <w:t xml:space="preserve">, and held a</w:t>
      </w:r>
      <w:r>
        <w:t xml:space="preserve"> </w:t>
      </w:r>
      <m:oMath>
        <m:r>
          <m:t>3.2</m:t>
        </m:r>
        <m:r>
          <m:t>b</m:t>
        </m:r>
        <m:r>
          <m:t>n</m:t>
        </m:r>
        <m:r>
          <m:t>n</m:t>
        </m:r>
        <m:r>
          <m:t>e</m:t>
        </m:r>
        <m:r>
          <m:t>t</m:t>
        </m:r>
        <m:r>
          <m:rPr>
            <m:sty m:val="p"/>
          </m:rPr>
          <m:t>−</m:t>
        </m:r>
        <m:r>
          <m:t>c</m:t>
        </m:r>
        <m:r>
          <m:t>a</m:t>
        </m:r>
        <m:r>
          <m:t>s</m:t>
        </m:r>
        <m:r>
          <m:t>h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I</m:t>
        </m:r>
        <m:r>
          <m:t>t</m:t>
        </m:r>
        <m:r>
          <m:t>h</m:t>
        </m:r>
        <m:r>
          <m:t>a</m:t>
        </m:r>
        <m:r>
          <m:t>d</m:t>
        </m:r>
        <m:r>
          <m:t>f</m:t>
        </m:r>
        <m:r>
          <m:t>u</m:t>
        </m:r>
        <m:r>
          <m:t>l</m:t>
        </m:r>
        <m:r>
          <m:t>l</m:t>
        </m:r>
        <m:r>
          <m:t>y</m:t>
        </m:r>
        <m:r>
          <m:t>u</m:t>
        </m:r>
        <m:r>
          <m:t>s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c</m:t>
        </m:r>
        <m:r>
          <m:t>e</m:t>
        </m:r>
        <m:r>
          <m:t>i</m:t>
        </m:r>
        <m:r>
          <m:t>v</m:t>
        </m:r>
        <m:r>
          <m:t>e</m:t>
        </m:r>
        <m:r>
          <m:t>d</m:t>
        </m:r>
        <m:r>
          <m:t>a</m:t>
        </m:r>
        <m:r>
          <m:t>f</m:t>
        </m:r>
        <m:r>
          <m:t>r</m:t>
        </m:r>
        <m:r>
          <m:t>e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6bn authorization</w:t>
      </w:r>
      <w:r>
        <w:t xml:space="preserve">. (</w:t>
      </w:r>
      <w:hyperlink r:id="rId11">
        <w:r>
          <w:rPr>
            <w:rStyle w:val="Hyperlink"/>
          </w:rPr>
          <w:t xml:space="preserve">newmont.com</w:t>
        </w:r>
      </w:hyperlink>
      <w:r>
        <w:t xml:space="preserve">)</w:t>
      </w:r>
    </w:p>
    <w:p>
      <w:pPr>
        <w:pStyle w:val="BodyText"/>
      </w:pPr>
      <w:r>
        <w:t xml:space="preserve">2Q free cash flow should be materially lower than 1Q due to:</w:t>
      </w:r>
    </w:p>
    <w:p>
      <w:pPr>
        <w:pStyle w:val="Compact"/>
        <w:numPr>
          <w:ilvl w:val="0"/>
          <w:numId w:val="1004"/>
        </w:numPr>
      </w:pPr>
      <w:r>
        <w:t xml:space="preserve">lower production;</w:t>
      </w:r>
    </w:p>
    <w:p>
      <w:pPr>
        <w:pStyle w:val="Compact"/>
        <w:numPr>
          <w:ilvl w:val="0"/>
          <w:numId w:val="1004"/>
        </w:numPr>
      </w:pPr>
      <w:r>
        <w:t xml:space="preserve">higher sustaining and development capital;</w:t>
      </w:r>
    </w:p>
    <w:p>
      <w:pPr>
        <w:pStyle w:val="Compact"/>
        <w:numPr>
          <w:ilvl w:val="0"/>
          <w:numId w:val="1004"/>
        </w:numPr>
      </w:pPr>
      <w:r>
        <w:t xml:space="preserve">higher costs;</w:t>
      </w:r>
    </w:p>
    <w:p>
      <w:pPr>
        <w:pStyle w:val="Compact"/>
        <w:numPr>
          <w:ilvl w:val="0"/>
          <w:numId w:val="1004"/>
        </w:numPr>
      </w:pPr>
      <w:r>
        <w:t xml:space="preserve">potentially less favorable co-product contribution.</w:t>
      </w:r>
    </w:p>
    <w:p>
      <w:pPr>
        <w:pStyle w:val="FirstParagraph"/>
      </w:pPr>
      <w:r>
        <w:t xml:space="preserve">That is expected. The more important read-through is whether Newmont continues to execute its formulaic capital-allocation framework:</w:t>
      </w:r>
    </w:p>
    <w:p>
      <w:pPr>
        <w:pStyle w:val="Compact"/>
        <w:numPr>
          <w:ilvl w:val="0"/>
          <w:numId w:val="1005"/>
        </w:numPr>
      </w:pPr>
      <w:r>
        <w:t xml:space="preserve">sustain the asset base;</w:t>
      </w:r>
    </w:p>
    <w:p>
      <w:pPr>
        <w:pStyle w:val="Compact"/>
        <w:numPr>
          <w:ilvl w:val="0"/>
          <w:numId w:val="1005"/>
        </w:numPr>
      </w:pPr>
      <w:r>
        <w:t xml:space="preserve">pay the dividend;</w:t>
      </w:r>
    </w:p>
    <w:p>
      <w:pPr>
        <w:pStyle w:val="Compact"/>
        <w:numPr>
          <w:ilvl w:val="0"/>
          <w:numId w:val="1005"/>
        </w:numPr>
      </w:pPr>
      <w:r>
        <w:t xml:space="preserve">fund high-return development;</w:t>
      </w:r>
    </w:p>
    <w:p>
      <w:pPr>
        <w:pStyle w:val="Compact"/>
        <w:numPr>
          <w:ilvl w:val="0"/>
          <w:numId w:val="1005"/>
        </w:numPr>
      </w:pPr>
      <w:r>
        <w:t xml:space="preserve">preserve the net-cash balance-sheet target;</w:t>
      </w:r>
    </w:p>
    <w:p>
      <w:pPr>
        <w:pStyle w:val="Compact"/>
        <w:numPr>
          <w:ilvl w:val="0"/>
          <w:numId w:val="1005"/>
        </w:numPr>
      </w:pPr>
      <w:r>
        <w:t xml:space="preserve">deploy residual cash into buybacks.</w:t>
      </w:r>
    </w:p>
    <w:p>
      <w:pPr>
        <w:pStyle w:val="FirstParagraph"/>
      </w:pPr>
      <w:r>
        <w:t xml:space="preserve">A strong result would show meaningful repurchase activity despite the expected quarterly cash-flow normalization. A softer result would feature lower free cash flow coupled with slower buybacks, elevated spending, or a more cautious capital-return outlook.</w:t>
      </w:r>
    </w:p>
    <w:bookmarkEnd w:id="20"/>
    <w:bookmarkStart w:id="22" w:name="other-items-to-watch"/>
    <w:p>
      <w:pPr>
        <w:pStyle w:val="Heading2"/>
      </w:pPr>
      <w:r>
        <w:t xml:space="preserve">Other items to watch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Nevada Gold Mines (NGM):</w:t>
      </w:r>
      <w:r>
        <w:t xml:space="preserve"> </w:t>
      </w:r>
      <w:r>
        <w:t xml:space="preserve">Newmont remains in an open-ended process with Barrick regarding its notice of default and is seeking improved performance at the JV. Investors will watch for any further disclosure, though a near-term resolution should not be assumed.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Red Chris:</w:t>
      </w:r>
      <w:r>
        <w:t xml:space="preserve"> </w:t>
      </w:r>
      <w:r>
        <w:t xml:space="preserve">The company previously targeted a second-half final investment decision. Any updated capital estimate, permitting progress, or revised timing could affect the longer-term growth and capital-spending profile.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Leadership transition:</w:t>
      </w:r>
      <w:r>
        <w:t xml:space="preserve"> </w:t>
      </w:r>
      <w:r>
        <w:t xml:space="preserve">This will be the first quarterly report following the July 1 appointments of Brian Tabolt as CFO, Mark Rodgers as COO, and David Thornton as CTO. The operating and project-execution messaging from the new leadership structure will matter, particularly given the expected capital intensity in 2H. (</w:t>
      </w:r>
      <w:hyperlink r:id="rId21">
        <w:r>
          <w:rPr>
            <w:rStyle w:val="Hyperlink"/>
          </w:rPr>
          <w:t xml:space="preserve">newmont.com</w:t>
        </w:r>
      </w:hyperlink>
      <w:r>
        <w:t xml:space="preserve">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Medium-term outlook:</w:t>
      </w:r>
      <w:r>
        <w:t xml:space="preserve"> </w:t>
      </w:r>
      <w:r>
        <w:t xml:space="preserve">Management has characterized 2026 as a trough year before portfolio growth reaccelerates. Investors may look for additional detail around 2027 production, capital intensity, and project timing.</w:t>
      </w:r>
    </w:p>
    <w:bookmarkEnd w:id="22"/>
    <w:bookmarkStart w:id="25" w:name="what-would-be-bullish-vs-bearish"/>
    <w:p>
      <w:pPr>
        <w:pStyle w:val="Heading2"/>
      </w:pPr>
      <w:r>
        <w:t xml:space="preserve">What would be bullish vs. bearish?</w:t>
      </w:r>
    </w:p>
    <w:bookmarkStart w:id="23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07"/>
        </w:numPr>
      </w:pPr>
      <w:r>
        <w:t xml:space="preserve">FY26 production, AISC, and capital guidance reaffirmed.</w:t>
      </w:r>
    </w:p>
    <w:p>
      <w:pPr>
        <w:pStyle w:val="Compact"/>
        <w:numPr>
          <w:ilvl w:val="0"/>
          <w:numId w:val="1007"/>
        </w:numPr>
      </w:pPr>
      <w:r>
        <w:t xml:space="preserve">Cadia confirmed back at full capacity by quarter-end, with no material 2H effect.</w:t>
      </w:r>
    </w:p>
    <w:p>
      <w:pPr>
        <w:pStyle w:val="Compact"/>
        <w:numPr>
          <w:ilvl w:val="0"/>
          <w:numId w:val="1007"/>
        </w:numPr>
      </w:pPr>
      <w:r>
        <w:t xml:space="preserve">2Q output around the expected ~1.2 Moz level, with the anticipated 2H ramp intact.</w:t>
      </w:r>
    </w:p>
    <w:p>
      <w:pPr>
        <w:pStyle w:val="Compact"/>
        <w:numPr>
          <w:ilvl w:val="0"/>
          <w:numId w:val="1007"/>
        </w:numPr>
      </w:pPr>
      <w:r>
        <w:t xml:space="preserve">Cost pressure characterized as manageable despite oil and Ghana royalty headwinds.</w:t>
      </w:r>
    </w:p>
    <w:p>
      <w:pPr>
        <w:pStyle w:val="Compact"/>
        <w:numPr>
          <w:ilvl w:val="0"/>
          <w:numId w:val="1007"/>
        </w:numPr>
      </w:pPr>
      <w:r>
        <w:t xml:space="preserve">Strong enough free cash flow to maintain a visible repurchase cadence.</w:t>
      </w:r>
    </w:p>
    <w:p>
      <w:pPr>
        <w:pStyle w:val="Compact"/>
        <w:numPr>
          <w:ilvl w:val="0"/>
          <w:numId w:val="1007"/>
        </w:numPr>
      </w:pPr>
      <w:r>
        <w:t xml:space="preserve">Better disclosure around 2027 production recovery and project milestones.</w:t>
      </w:r>
    </w:p>
    <w:bookmarkEnd w:id="23"/>
    <w:bookmarkStart w:id="24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08"/>
        </w:numPr>
      </w:pPr>
      <w:r>
        <w:t xml:space="preserve">A Cadia recovery delay or a reduction to 2H production expectations.</w:t>
      </w:r>
    </w:p>
    <w:p>
      <w:pPr>
        <w:pStyle w:val="Compact"/>
        <w:numPr>
          <w:ilvl w:val="0"/>
          <w:numId w:val="1008"/>
        </w:numPr>
      </w:pPr>
      <w:r>
        <w:t xml:space="preserve">AISC materially above the expected seasonal step-up, especially if driven by operational underperformance rather than capital timing.</w:t>
      </w:r>
    </w:p>
    <w:p>
      <w:pPr>
        <w:pStyle w:val="Compact"/>
        <w:numPr>
          <w:ilvl w:val="0"/>
          <w:numId w:val="1008"/>
        </w:numPr>
      </w:pPr>
      <w:r>
        <w:t xml:space="preserve">Higher oil, royalties, labor, or supply-chain costs leading to a narrowed or reduced guidance range.</w:t>
      </w:r>
    </w:p>
    <w:p>
      <w:pPr>
        <w:pStyle w:val="Compact"/>
        <w:numPr>
          <w:ilvl w:val="0"/>
          <w:numId w:val="1008"/>
        </w:numPr>
      </w:pPr>
      <w:r>
        <w:t xml:space="preserve">Delays or material capex inflation at Red Chris, Tanami, Lihir, or Cadia.</w:t>
      </w:r>
    </w:p>
    <w:p>
      <w:pPr>
        <w:pStyle w:val="Compact"/>
        <w:numPr>
          <w:ilvl w:val="0"/>
          <w:numId w:val="1008"/>
        </w:numPr>
      </w:pPr>
      <w:r>
        <w:t xml:space="preserve">Slower buybacks despite a still-strong commodity-price environment.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report is primarily a</w:t>
      </w:r>
      <w:r>
        <w:t xml:space="preserve"> </w:t>
      </w:r>
      <w:r>
        <w:rPr>
          <w:b/>
          <w:bCs/>
        </w:rPr>
        <w:t xml:space="preserve">guidance-integrity and execution</w:t>
      </w:r>
      <w:r>
        <w:t xml:space="preserve"> </w:t>
      </w:r>
      <w:r>
        <w:t xml:space="preserve">test, not a test of whether Newmont can repeat its extraordinary 1Q cash flow. The company pre-signaled a lower-volume, higher-cost 2Q. Therefore, the decisive issue is whether management can demonstrate that the quarter was simply the expected trough before a 2H recovery.</w:t>
      </w:r>
    </w:p>
    <w:p>
      <w:pPr>
        <w:pStyle w:val="BodyText"/>
      </w:pPr>
      <w:r>
        <w:t xml:space="preserve">For investors, the most important combination is:</w:t>
      </w:r>
      <w:r>
        <w:t xml:space="preserve"> </w:t>
      </w:r>
      <w:r>
        <w:rPr>
          <w:b/>
          <w:bCs/>
        </w:rPr>
        <w:t xml:space="preserve">Cadia recovery on schedule, full-year guidance maintained, costs contained within the existing framework, and continued buyback deployment.</w:t>
      </w:r>
      <w:r>
        <w:t xml:space="preserve"> </w:t>
      </w:r>
      <w:r>
        <w:t xml:space="preserve">If Newmont delivers that combination, a mechanically weaker quarter should be viewed as consistent with the company’s 2026 plan rather than as a deterioration in the underlying investment case.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https://live.euronext.com/en/financial-news/oil-climbs-over-3-near-six-week-high-conflict-threatens-key-oil-transit-routes?utm_source=openai" TargetMode="External" /><Relationship Type="http://schemas.openxmlformats.org/officeDocument/2006/relationships/hyperlink" Id="rId21" Target="https://www.newmont.com/investors/news-release/news-details/2026/Newmont-Announces-Key-Executive-Appointments-for-the-Next-Phase-of-Delivery/default.aspx?utm_source=openai" TargetMode="External" /><Relationship Type="http://schemas.openxmlformats.org/officeDocument/2006/relationships/hyperlink" Id="rId9" Target="https://www.newmont.com/investors/news-release/news-details/2026/Newmont-Announces-Second-Quarter-2026-Results-Conference-Call/default.aspx?utm_source=openai" TargetMode="External" /><Relationship Type="http://schemas.openxmlformats.org/officeDocument/2006/relationships/hyperlink" Id="rId11" Target="https://www.newmont.com/investors/news-release/news-details/2026/Newmont-Generates-Record-Quarterly-Earnings-and-Free-Cash-Flow-Reports-First-Quarter-2026-Results-and-Announces-Increased-Share-Repurchase-Authorization/default.aspx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live.euronext.com/en/financial-news/oil-climbs-over-3-near-six-week-high-conflict-threatens-key-oil-transit-routes?utm_source=openai" TargetMode="External" /><Relationship Type="http://schemas.openxmlformats.org/officeDocument/2006/relationships/hyperlink" Id="rId21" Target="https://www.newmont.com/investors/news-release/news-details/2026/Newmont-Announces-Key-Executive-Appointments-for-the-Next-Phase-of-Delivery/default.aspx?utm_source=openai" TargetMode="External" /><Relationship Type="http://schemas.openxmlformats.org/officeDocument/2006/relationships/hyperlink" Id="rId9" Target="https://www.newmont.com/investors/news-release/news-details/2026/Newmont-Announces-Second-Quarter-2026-Results-Conference-Call/default.aspx?utm_source=openai" TargetMode="External" /><Relationship Type="http://schemas.openxmlformats.org/officeDocument/2006/relationships/hyperlink" Id="rId11" Target="https://www.newmont.com/investors/news-release/news-details/2026/Newmont-Generates-Record-Quarterly-Earnings-and-Free-Cash-Flow-Reports-First-Quarter-2026-Results-and-Announces-Increased-Share-Repurchase-Authorization/default.aspx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2026-07-23T01:09:49Z</dcterms:created>
  <dcterms:modified xsi:type="dcterms:W3CDTF">2026-07-23T01:09:49Z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