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I'll research NOC before writing the preview. Let me start by gathering recent transcripts, releases, filings, and news.Let me read the most recent earnings materials (2026Q1) and get recent news.Good, I have the Q1 2026 release. Now let me get the Q1 transcript, the prior-year Q2 comp, recent news, and stock price.Let me get the prior-year Q2 2025 release for comparison and check recent defense sector news.I have strong material. Let me do one more targeted search for recent NOC-specific news/catalysts (F/A-XX, awards) in the weeks before the print.# Northrop Grumman (NOC) — Q2 2026 Earnings Preview</w:t>
      </w:r>
    </w:p>
    <w:bookmarkStart w:id="9" w:name="Xbd6dec5e56bd0f2832db6953d2b0ffa2392a49e"/>
    <w:p>
      <w:pPr>
        <w:pStyle w:val="Heading3"/>
      </w:pPr>
      <w:r>
        <w:t xml:space="preserve">Reports Tuesday, July 21, 2026, before the open | Conference call 9:30 a.m. ET</w:t>
      </w:r>
    </w:p>
    <w:p>
      <w:r>
        <w:pict>
          <v:rect style="width:0;height:1.5pt" o:hralign="center" o:hrstd="t" o:hr="t"/>
        </w:pict>
      </w:r>
    </w:p>
    <w:bookmarkEnd w:id="9"/>
    <w:bookmarkStart w:id="10" w:name="Xae6f292db010770e3923e5f374da821abf65b5e"/>
    <w:p>
      <w:pPr>
        <w:pStyle w:val="Heading2"/>
      </w:pPr>
      <w:r>
        <w:t xml:space="preserve">1. The setup in one paragraph</w:t>
      </w:r>
    </w:p>
    <w:p>
      <w:pPr>
        <w:pStyle w:val="FirstParagraph"/>
      </w:pPr>
      <w:r>
        <w:t xml:space="preserve">Northrop reports into a paradoxical backdrop: demand has arguably never been stronger — record-ish backlog, a</w:t>
      </w:r>
      <w:r>
        <w:t xml:space="preserve"> </w:t>
      </w:r>
      <m:oMath>
        <m:r>
          <m:t>1.5</m:t>
        </m:r>
        <m:r>
          <m:t>t</m:t>
        </m:r>
        <m:r>
          <m:t>r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F</m:t>
        </m:r>
        <m:r>
          <m:t>Y</m:t>
        </m:r>
        <m:r>
          <m:t>27</m:t>
        </m:r>
        <m:r>
          <m:t>d</m:t>
        </m:r>
        <m:r>
          <m:t>e</m:t>
        </m:r>
        <m:r>
          <m:t>f</m:t>
        </m:r>
        <m:r>
          <m:t>e</m:t>
        </m:r>
        <m:r>
          <m:t>n</m:t>
        </m:r>
        <m:r>
          <m:t>s</m:t>
        </m:r>
        <m:r>
          <m:t>e</m:t>
        </m:r>
        <m:r>
          <m:t>b</m:t>
        </m:r>
        <m:r>
          <m:t>u</m:t>
        </m:r>
        <m:r>
          <m:t>d</m:t>
        </m:r>
        <m:r>
          <m:t>g</m:t>
        </m:r>
        <m:r>
          <m:t>e</m:t>
        </m:r>
        <m:r>
          <m:t>t</m:t>
        </m:r>
        <m:r>
          <m:t>r</m:t>
        </m:r>
        <m:r>
          <m:t>e</m:t>
        </m:r>
        <m:r>
          <m:t>q</m:t>
        </m:r>
        <m:r>
          <m:t>u</m:t>
        </m:r>
        <m:r>
          <m:t>e</m:t>
        </m:r>
        <m:r>
          <m:t>s</m:t>
        </m:r>
        <m:r>
          <m:t>t</m:t>
        </m:r>
        <m:r>
          <m:rPr>
            <m:sty m:val="p"/>
          </m:rPr>
          <m:t>,</m:t>
        </m:r>
        <m:r>
          <m:t>a</m:t>
        </m:r>
        <m:r>
          <m:t>c</m:t>
        </m:r>
        <m:r>
          <m:t>c</m:t>
        </m:r>
        <m:r>
          <m:t>e</m:t>
        </m:r>
        <m:r>
          <m:t>l</m:t>
        </m:r>
        <m:r>
          <m:t>e</m:t>
        </m:r>
        <m:r>
          <m:t>r</m:t>
        </m:r>
        <m:r>
          <m:t>a</m:t>
        </m:r>
        <m:r>
          <m:t>t</m:t>
        </m:r>
        <m:r>
          <m:t>i</m:t>
        </m:r>
        <m:r>
          <m:t>n</m:t>
        </m:r>
        <m:r>
          <m:t>g</m:t>
        </m:r>
        <m:r>
          <m:t>B</m:t>
        </m:r>
        <m:r>
          <m:rPr>
            <m:sty m:val="p"/>
          </m:rPr>
          <m:t>−</m:t>
        </m:r>
        <m:r>
          <m:t>21</m:t>
        </m:r>
        <m:r>
          <m:t>a</m:t>
        </m:r>
        <m:r>
          <m:t>n</m:t>
        </m:r>
        <m:r>
          <m:t>d</m:t>
        </m:r>
        <m:r>
          <m:t>S</m:t>
        </m:r>
        <m:r>
          <m:t>e</m:t>
        </m:r>
        <m:r>
          <m:t>n</m:t>
        </m:r>
        <m:r>
          <m:t>t</m:t>
        </m:r>
        <m:r>
          <m:t>i</m:t>
        </m:r>
        <m:r>
          <m:t>n</m:t>
        </m:r>
        <m:r>
          <m:t>e</m:t>
        </m:r>
        <m:r>
          <m:t>l</m:t>
        </m:r>
        <m:r>
          <m:rPr>
            <m:sty m:val="p"/>
          </m:rPr>
          <m:t>—</m:t>
        </m:r>
        <m:r>
          <m:t>y</m:t>
        </m:r>
        <m:r>
          <m:t>e</m:t>
        </m:r>
        <m:r>
          <m:t>t</m:t>
        </m:r>
        <m:r>
          <m:t>t</m:t>
        </m:r>
        <m:r>
          <m:t>h</m:t>
        </m:r>
        <m:r>
          <m:t>e</m:t>
        </m:r>
        <m:r>
          <m:t>s</m:t>
        </m:r>
        <m:r>
          <m:t>t</m:t>
        </m:r>
        <m:r>
          <m:t>o</m:t>
        </m:r>
        <m:r>
          <m:t>c</m:t>
        </m:r>
        <m:r>
          <m:t>k</m:t>
        </m:r>
        <m:r>
          <m:t>h</m:t>
        </m:r>
        <m:r>
          <m:t>a</m:t>
        </m:r>
        <m:r>
          <m:t>s</m:t>
        </m:r>
        <m:r>
          <m:t>b</m:t>
        </m:r>
        <m:r>
          <m:t>e</m:t>
        </m:r>
        <m:r>
          <m:t>e</m:t>
        </m:r>
        <m:r>
          <m:t>n</m:t>
        </m:r>
        <m:r>
          <m:t>o</m:t>
        </m:r>
        <m:r>
          <m:t>n</m:t>
        </m:r>
        <m:r>
          <m:t>e</m:t>
        </m:r>
        <m:r>
          <m:t>o</m:t>
        </m:r>
        <m:r>
          <m:t>f</m:t>
        </m:r>
        <m:r>
          <m:t>t</m:t>
        </m:r>
        <m:r>
          <m:t>h</m:t>
        </m:r>
        <m:r>
          <m:t>e</m:t>
        </m:r>
        <m:r>
          <m:t>w</m:t>
        </m:r>
        <m:r>
          <m:t>e</m:t>
        </m:r>
        <m:r>
          <m:t>a</m:t>
        </m:r>
        <m:r>
          <m:t>k</m:t>
        </m:r>
        <m:r>
          <m:t>e</m:t>
        </m:r>
        <m:r>
          <m:t>s</m:t>
        </m:r>
        <m:r>
          <m:t>t</m:t>
        </m:r>
        <m:r>
          <m:t>l</m:t>
        </m:r>
        <m:r>
          <m:t>a</m:t>
        </m:r>
        <m:r>
          <m:t>r</m:t>
        </m:r>
        <m:r>
          <m:t>g</m:t>
        </m:r>
        <m:r>
          <m:t>e</m:t>
        </m:r>
        <m:r>
          <m:rPr>
            <m:sty m:val="p"/>
          </m:rPr>
          <m:t>−</m:t>
        </m:r>
        <m:r>
          <m:t>c</m:t>
        </m:r>
        <m:r>
          <m:t>a</m:t>
        </m:r>
        <m:r>
          <m:t>p</m:t>
        </m:r>
        <m:r>
          <m:t>d</m:t>
        </m:r>
        <m:r>
          <m:t>e</m:t>
        </m:r>
        <m:r>
          <m:t>f</m:t>
        </m:r>
        <m:r>
          <m:t>e</m:t>
        </m:r>
        <m:r>
          <m:t>n</m:t>
        </m:r>
        <m:r>
          <m:t>s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r>
          <m:t>s</m:t>
        </m:r>
        <m:r>
          <m:t>o</m:t>
        </m:r>
        <m:r>
          <m:t>f</m:t>
        </m:r>
        <m:r>
          <m:t>2026</m:t>
        </m:r>
        <m:r>
          <m:rPr>
            <m:sty m:val="p"/>
          </m:rPr>
          <m:t>.</m:t>
        </m:r>
        <m:r>
          <m:t>S</m:t>
        </m:r>
        <m:r>
          <m:t>h</m:t>
        </m:r>
        <m:r>
          <m:t>a</m:t>
        </m:r>
        <m:r>
          <m:t>r</m:t>
        </m:r>
        <m:r>
          <m:t>e</m:t>
        </m:r>
        <m:r>
          <m:t>s</m:t>
        </m:r>
        <m:r>
          <m:t>c</m:t>
        </m:r>
        <m:r>
          <m:t>l</m:t>
        </m:r>
        <m:r>
          <m:t>o</m:t>
        </m:r>
        <m:r>
          <m:t>s</m:t>
        </m:r>
        <m:r>
          <m:t>e</m:t>
        </m:r>
        <m:r>
          <m:t>d</m:t>
        </m:r>
        <m:r>
          <m:t>a</m:t>
        </m:r>
        <m:r>
          <m:t>t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524 on July 20**, down roughly</w:t>
      </w:r>
      <w:r>
        <w:t xml:space="preserve"> </w:t>
      </w:r>
      <w:r>
        <w:rPr>
          <w:b/>
          <w:bCs/>
        </w:rPr>
        <w:t xml:space="preserve">11% year-to-date</w:t>
      </w:r>
      <w:r>
        <w:t xml:space="preserve"> </w:t>
      </w:r>
      <w:r>
        <w:t xml:space="preserve">and about **32% off the early-March high near</w:t>
      </w:r>
      <w:r>
        <w:t xml:space="preserve"> </w:t>
      </w:r>
      <m:oMath>
        <m:r>
          <m:t>768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.</m:t>
        </m:r>
        <m:r>
          <m:t>T</m:t>
        </m:r>
        <m:r>
          <m:t>h</m:t>
        </m:r>
        <m:r>
          <m:t>e</m:t>
        </m:r>
        <m:r>
          <m:t>Q</m:t>
        </m:r>
        <m:r>
          <m:t>1</m:t>
        </m:r>
        <m:r>
          <m:t>p</m:t>
        </m:r>
        <m:r>
          <m:t>r</m:t>
        </m:r>
        <m:r>
          <m:t>i</m:t>
        </m:r>
        <m:r>
          <m:t>n</m:t>
        </m:r>
        <m:r>
          <m:t>t</m:t>
        </m:r>
        <m:r>
          <m:t>i</m:t>
        </m:r>
        <m:r>
          <m:t>n</m:t>
        </m:r>
        <m:r>
          <m:t>A</m:t>
        </m:r>
        <m:r>
          <m:t>p</m:t>
        </m:r>
        <m:r>
          <m:t>r</m:t>
        </m:r>
        <m:r>
          <m:t>i</m:t>
        </m:r>
        <m:r>
          <m:t>l</m:t>
        </m:r>
        <m:r>
          <m:t>w</m:t>
        </m:r>
        <m:r>
          <m:t>a</m:t>
        </m:r>
        <m:r>
          <m:t>s</m:t>
        </m:r>
        <m:r>
          <m:t>a</m:t>
        </m:r>
        <m:r>
          <m:t>t</m:t>
        </m:r>
        <m:r>
          <m:t>u</m:t>
        </m:r>
        <m:r>
          <m:t>r</m:t>
        </m:r>
        <m:r>
          <m:t>n</m:t>
        </m:r>
        <m:r>
          <m:t>i</m:t>
        </m:r>
        <m:r>
          <m:t>n</m:t>
        </m:r>
        <m:r>
          <m:t>g</m:t>
        </m:r>
        <m:r>
          <m:t>p</m:t>
        </m:r>
        <m:r>
          <m:t>o</m:t>
        </m:r>
        <m:r>
          <m:t>i</m:t>
        </m:r>
        <m:r>
          <m:t>n</m:t>
        </m:r>
        <m:r>
          <m:t>t</m:t>
        </m:r>
        <m:r>
          <m:rPr>
            <m:sty m:val="p"/>
          </m:rPr>
          <m:t>:</m:t>
        </m:r>
        <m:r>
          <m:t>d</m:t>
        </m:r>
        <m:r>
          <m:t>e</m:t>
        </m:r>
        <m:r>
          <m:t>s</m:t>
        </m:r>
        <m:r>
          <m:t>p</m:t>
        </m:r>
        <m:r>
          <m:t>i</m:t>
        </m:r>
        <m:r>
          <m:t>t</m:t>
        </m:r>
        <m:r>
          <m:t>e</m:t>
        </m:r>
        <m:r>
          <m:t>a</m:t>
        </m:r>
        <m:r>
          <m:t>c</m:t>
        </m:r>
        <m:r>
          <m:t>l</m:t>
        </m:r>
        <m:r>
          <m:t>e</m:t>
        </m:r>
        <m:r>
          <m:t>a</m:t>
        </m:r>
        <m:r>
          <m:t>n</m:t>
        </m:r>
        <m:r>
          <m:t>b</m:t>
        </m:r>
        <m:r>
          <m:t>e</m:t>
        </m:r>
        <m:r>
          <m:t>a</m:t>
        </m:r>
        <m:r>
          <m:t>t</m:t>
        </m:r>
        <m:r>
          <m:rPr>
            <m:sty m:val="p"/>
          </m:rPr>
          <m:t>,</m:t>
        </m:r>
        <m:r>
          <m:t>t</m:t>
        </m:r>
        <m:r>
          <m:t>h</m:t>
        </m:r>
        <m:r>
          <m:t>e</m:t>
        </m:r>
        <m:r>
          <m:t>s</m:t>
        </m:r>
        <m:r>
          <m:t>t</m:t>
        </m:r>
        <m:r>
          <m:t>o</m:t>
        </m:r>
        <m:r>
          <m:t>c</m:t>
        </m:r>
        <m:r>
          <m:t>k</m:t>
        </m:r>
        <m:r>
          <m:t>f</m:t>
        </m:r>
        <m:r>
          <m:t>e</m:t>
        </m:r>
        <m:r>
          <m:t>l</m:t>
        </m:r>
        <m:r>
          <m:t>l</m:t>
        </m:r>
        <m:r>
          <m:t> </m:t>
        </m:r>
        <m:r>
          <m:t>7</m:t>
        </m:r>
      </m:oMath>
      <w:r>
        <w:t xml:space="preserve">2.5B of company-funded B-21 capital investment, cash-flow timing, and a rising-rate/"cheap-drone" narrative. This quarter is less about the Q2 numbers themselves and more about (a) whether management finally</w:t>
      </w:r>
      <w:r>
        <w:t xml:space="preserve"> </w:t>
      </w:r>
      <w:r>
        <w:rPr>
          <w:i/>
          <w:iCs/>
        </w:rPr>
        <w:t xml:space="preserve">raises</w:t>
      </w:r>
      <w:r>
        <w:t xml:space="preserve"> </w:t>
      </w:r>
      <w:r>
        <w:t xml:space="preserve">guidance the way it did at this point in 2025, and (b) the read-through to two enormous binary catalysts sitting in Q3 — the</w:t>
      </w:r>
      <w:r>
        <w:t xml:space="preserve"> </w:t>
      </w:r>
      <w:r>
        <w:rPr>
          <w:b/>
          <w:bCs/>
        </w:rPr>
        <w:t xml:space="preserve">F/A-XX Navy fighter down-select</w:t>
      </w:r>
      <w:r>
        <w:t xml:space="preserve"> </w:t>
      </w:r>
      <w:r>
        <w:t xml:space="preserve">and continued</w:t>
      </w:r>
      <w:r>
        <w:t xml:space="preserve"> </w:t>
      </w:r>
      <w:r>
        <w:rPr>
          <w:b/>
          <w:bCs/>
        </w:rPr>
        <w:t xml:space="preserve">B-21 rate-ramp</w:t>
      </w:r>
      <w:r>
        <w:t xml:space="preserve"> </w:t>
      </w:r>
      <w:r>
        <w:t xml:space="preserve">economics.</w:t>
      </w:r>
    </w:p>
    <w:p>
      <w:r>
        <w:pict>
          <v:rect style="width:0;height:1.5pt" o:hralign="center" o:hrstd="t" o:hr="t"/>
        </w:pict>
      </w:r>
    </w:p>
    <w:bookmarkEnd w:id="10"/>
    <w:bookmarkStart w:id="11" w:name="X07034c3b35d37eba1c6d5cb41fa8675be0f21ec"/>
    <w:p>
      <w:pPr>
        <w:pStyle w:val="Heading2"/>
      </w:pPr>
      <w:r>
        <w:t xml:space="preserve">2. What the Street expects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Q2 2026 Consensus</w:t>
            </w:r>
          </w:p>
        </w:tc>
        <w:tc>
          <w:tcPr/>
          <w:p>
            <w:pPr>
              <w:pStyle w:val="Compact"/>
            </w:pPr>
            <w:r>
              <w:t xml:space="preserve">Q2 2025 Actual</w:t>
            </w:r>
          </w:p>
        </w:tc>
        <w:tc>
          <w:tcPr/>
          <w:p>
            <w:pPr>
              <w:pStyle w:val="Compact"/>
            </w:pPr>
            <w:r>
              <w:t xml:space="preserve">Y/Y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~$10.8B</w:t>
            </w:r>
          </w:p>
        </w:tc>
        <w:tc>
          <w:tcPr/>
          <w:p>
            <w:pPr>
              <w:pStyle w:val="Compact"/>
            </w:pPr>
            <w:r>
              <w:t xml:space="preserve">$10.35B</w:t>
            </w:r>
          </w:p>
        </w:tc>
        <w:tc>
          <w:tcPr/>
          <w:p>
            <w:pPr>
              <w:pStyle w:val="Compact"/>
            </w:pPr>
            <w:r>
              <w:t xml:space="preserve">+4.4%</w:t>
            </w:r>
          </w:p>
        </w:tc>
      </w:tr>
      <w:tr>
        <w:tc>
          <w:tcPr/>
          <w:p>
            <w:pPr>
              <w:pStyle w:val="Compact"/>
            </w:pPr>
            <w:r>
              <w:t xml:space="preserve">EPS</w:t>
            </w:r>
          </w:p>
        </w:tc>
        <w:tc>
          <w:tcPr/>
          <w:p>
            <w:pPr>
              <w:pStyle w:val="Compact"/>
            </w:pPr>
            <w:r>
              <w:t xml:space="preserve">~$6.83</w:t>
            </w:r>
          </w:p>
        </w:tc>
        <w:tc>
          <w:tcPr/>
          <w:p>
            <w:pPr>
              <w:pStyle w:val="Compact"/>
            </w:pPr>
            <w:r>
              <w:t xml:space="preserve">$8.15 (GAAP)</w:t>
            </w:r>
          </w:p>
        </w:tc>
        <w:tc>
          <w:tcPr/>
          <w:p>
            <w:pPr>
              <w:pStyle w:val="Compact"/>
            </w:pPr>
            <w:r>
              <w:t xml:space="preserve">−16.2%</w:t>
            </w:r>
          </w:p>
        </w:tc>
      </w:tr>
    </w:tbl>
    <w:p>
      <w:pPr>
        <w:pStyle w:val="BodyText"/>
      </w:pPr>
      <w:r>
        <w:rPr>
          <w:b/>
          <w:bCs/>
        </w:rPr>
        <w:t xml:space="preserve">Read the EPS "decline" carefully.</w:t>
      </w:r>
      <w:r>
        <w:t xml:space="preserve"> </w:t>
      </w:r>
      <w:r>
        <w:t xml:space="preserve">The 16% drop is optically ugly but largely a comp artifact. Q2 2025 included a</w:t>
      </w:r>
      <w:r>
        <w:t xml:space="preserve"> </w:t>
      </w:r>
      <w:r>
        <w:rPr>
          <w:b/>
          <w:bCs/>
        </w:rPr>
        <w:t xml:space="preserve">$1.04/share after-tax gain</w:t>
      </w:r>
      <w:r>
        <w:t xml:space="preserve"> </w:t>
      </w:r>
      <w:r>
        <w:t xml:space="preserve">from the training-services divestiture</w:t>
      </w:r>
      <w:r>
        <w:t xml:space="preserve"> </w:t>
      </w:r>
      <w:r>
        <w:rPr>
          <w:i/>
          <w:iCs/>
        </w:rPr>
        <w:t xml:space="preserve">plus</w:t>
      </w:r>
      <w:r>
        <w:t xml:space="preserve"> </w:t>
      </w:r>
      <w:r>
        <w:t xml:space="preserve">a</w:t>
      </w:r>
      <w:r>
        <w:t xml:space="preserve"> </w:t>
      </w:r>
      <w:r>
        <w:t xml:space="preserve">$76M favorable Sentinel EAC adjustment. Stripping the divestiture gain, prior-year "clean" EPS was ~$</w:t>
      </w:r>
      <w:r>
        <w:t xml:space="preserve">7.11, so the true underlying decline the Street models is smaller — driven by lower FAS/CAS pension income, higher interest expense, and a tougher Mission Systems margin comp (Q2'25 MS margin was an elevated 14.0% on restricted-award timing).</w:t>
      </w:r>
    </w:p>
    <w:p>
      <w:pPr>
        <w:pStyle w:val="BodyText"/>
      </w:pPr>
      <w:r>
        <w:rPr>
          <w:b/>
          <w:bCs/>
        </w:rPr>
        <w:t xml:space="preserve">Sequential context matters more here.</w:t>
      </w:r>
      <w:r>
        <w:t xml:space="preserve"> </w:t>
      </w:r>
      <w:r>
        <w:t xml:space="preserve">On the Q1 call, CFO John Greene guided to</w:t>
      </w:r>
      <w:r>
        <w:t xml:space="preserve"> </w:t>
      </w:r>
      <w:r>
        <w:rPr>
          <w:b/>
          <w:bCs/>
        </w:rPr>
        <w:t xml:space="preserve">"high single-digit sequential sales growth"</w:t>
      </w:r>
      <w:r>
        <w:t xml:space="preserve"> </w:t>
      </w:r>
      <w:r>
        <w:t xml:space="preserve">in Q2 off the Q1 base of</w:t>
      </w:r>
      <w:r>
        <w:t xml:space="preserve"> </w:t>
      </w:r>
      <m:oMath>
        <m:r>
          <m:t>9.88</m:t>
        </m:r>
        <m:r>
          <m:t>B</m:t>
        </m:r>
        <m:r>
          <m:rPr>
            <m:sty m:val="p"/>
          </m:rPr>
          <m:t>—</m:t>
        </m:r>
        <m:r>
          <m:t>i</m:t>
        </m:r>
        <m:r>
          <m:rPr>
            <m:sty m:val="p"/>
          </m:rPr>
          <m:t>.</m:t>
        </m:r>
        <m:r>
          <m:t>e</m:t>
        </m:r>
        <m:r>
          <m:rPr>
            <m:sty m:val="p"/>
          </m:rPr>
          <m:t>.</m:t>
        </m:r>
        <m:r>
          <m:rPr>
            <m:sty m:val="p"/>
          </m:rPr>
          <m:t>,</m:t>
        </m:r>
        <m:r>
          <m:t> </m:t>
        </m:r>
      </m:oMath>
      <w:r>
        <w:t xml:space="preserve">10.6–10.7B. Consensus of ~$10.8B implies the Street is modeling toward the high end / slight beat. Northrop has a long history of back-half-weighted revenue and cash, so a modest Q2 with reaffirmed full-year targets would be entirely in character.</w:t>
      </w:r>
    </w:p>
    <w:p>
      <w:r>
        <w:pict>
          <v:rect style="width:0;height:1.5pt" o:hralign="center" o:hrstd="t" o:hr="t"/>
        </w:pict>
      </w:r>
    </w:p>
    <w:bookmarkEnd w:id="11"/>
    <w:bookmarkStart w:id="12" w:name="Xc59c798e4df252aac5737e322c7b51dbd6a951f"/>
    <w:p>
      <w:pPr>
        <w:pStyle w:val="Heading2"/>
      </w:pPr>
      <w:r>
        <w:t xml:space="preserve">3. The single biggest question: does guidance get raised?</w:t>
      </w:r>
    </w:p>
    <w:p>
      <w:pPr>
        <w:pStyle w:val="FirstParagraph"/>
      </w:pPr>
      <w:r>
        <w:t xml:space="preserve">Current</w:t>
      </w:r>
      <w:r>
        <w:t xml:space="preserve"> </w:t>
      </w:r>
      <w:r>
        <w:rPr>
          <w:b/>
          <w:bCs/>
        </w:rPr>
        <w:t xml:space="preserve">FY2026 guidance (reaffirmed, not raised, at Q1):</w:t>
      </w:r>
    </w:p>
    <w:p>
      <w:pPr>
        <w:pStyle w:val="Compact"/>
        <w:numPr>
          <w:ilvl w:val="0"/>
          <w:numId w:val="1001"/>
        </w:numPr>
      </w:pPr>
      <w:r>
        <w:t xml:space="preserve">Sales:</w:t>
      </w:r>
      <w:r>
        <w:t xml:space="preserve"> </w:t>
      </w:r>
      <w:r>
        <w:rPr>
          <w:b/>
          <w:bCs/>
        </w:rPr>
        <w:t xml:space="preserve">$43.5B – $44.0B</w:t>
      </w:r>
    </w:p>
    <w:p>
      <w:pPr>
        <w:pStyle w:val="Compact"/>
        <w:numPr>
          <w:ilvl w:val="0"/>
          <w:numId w:val="1001"/>
        </w:numPr>
      </w:pPr>
      <w:r>
        <w:t xml:space="preserve">Segment operating income:</w:t>
      </w:r>
      <w:r>
        <w:t xml:space="preserve"> </w:t>
      </w:r>
      <w:r>
        <w:rPr>
          <w:b/>
          <w:bCs/>
        </w:rPr>
        <w:t xml:space="preserve">$4,850M – $5,000M</w:t>
      </w:r>
      <w:r>
        <w:t xml:space="preserve"> </w:t>
      </w:r>
      <w:r>
        <w:t xml:space="preserve">(low-to-mid 11% margin)</w:t>
      </w:r>
    </w:p>
    <w:p>
      <w:pPr>
        <w:pStyle w:val="Compact"/>
        <w:numPr>
          <w:ilvl w:val="0"/>
          <w:numId w:val="1001"/>
        </w:numPr>
      </w:pPr>
      <w:r>
        <w:t xml:space="preserve">MTM-adjusted EPS:</w:t>
      </w:r>
      <w:r>
        <w:t xml:space="preserve"> </w:t>
      </w:r>
      <w:r>
        <w:rPr>
          <w:b/>
          <w:bCs/>
        </w:rPr>
        <w:t xml:space="preserve">$27.40 – $27.90</w:t>
      </w:r>
    </w:p>
    <w:p>
      <w:pPr>
        <w:pStyle w:val="Compact"/>
        <w:numPr>
          <w:ilvl w:val="0"/>
          <w:numId w:val="1001"/>
        </w:numPr>
      </w:pPr>
      <w:r>
        <w:t xml:space="preserve">Free cash flow:</w:t>
      </w:r>
      <w:r>
        <w:t xml:space="preserve"> </w:t>
      </w:r>
      <w:r>
        <w:rPr>
          <w:b/>
          <w:bCs/>
        </w:rPr>
        <w:t xml:space="preserve">$3.1B – $3.5B</w:t>
      </w:r>
    </w:p>
    <w:p>
      <w:pPr>
        <w:pStyle w:val="Compact"/>
        <w:numPr>
          <w:ilvl w:val="0"/>
          <w:numId w:val="1001"/>
        </w:numPr>
      </w:pPr>
      <w:r>
        <w:t xml:space="preserve">CapEx: **raised to ~</w:t>
      </w:r>
      <m:oMath>
        <m:r>
          <m:t>1.85</m:t>
        </m:r>
        <m:r>
          <m:t>B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(</m:t>
        </m:r>
        <m:r>
          <m:t>f</m:t>
        </m:r>
        <m:r>
          <m:t>r</m:t>
        </m:r>
        <m:r>
          <m:t>o</m:t>
        </m:r>
        <m:r>
          <m:t>m</m:t>
        </m:r>
        <m:r>
          <m:t>p</m:t>
        </m:r>
        <m:r>
          <m:t>r</m:t>
        </m:r>
        <m:r>
          <m:t>i</m:t>
        </m:r>
        <m:r>
          <m:t>o</m:t>
        </m:r>
        <m:r>
          <m:t>r</m:t>
        </m:r>
        <m:r>
          <m:t>p</m:t>
        </m:r>
        <m:r>
          <m:t>l</m:t>
        </m:r>
        <m:r>
          <m:t>a</m:t>
        </m:r>
        <m:r>
          <m:t>n</m:t>
        </m:r>
        <m:r>
          <m:rPr>
            <m:sty m:val="p"/>
          </m:rPr>
          <m:t>,</m:t>
        </m:r>
        <m:r>
          <m:rPr>
            <m:sty m:val="p"/>
          </m:rPr>
          <m:t>+</m:t>
        </m:r>
      </m:oMath>
      <w:r>
        <w:t xml:space="preserve">200M for B-21 capacity)</w:t>
      </w:r>
    </w:p>
    <w:p>
      <w:pPr>
        <w:pStyle w:val="FirstParagraph"/>
      </w:pPr>
      <w:r>
        <w:t xml:space="preserve">Why this is the crux: In 2025, Northrop</w:t>
      </w:r>
      <w:r>
        <w:t xml:space="preserve"> </w:t>
      </w:r>
      <w:r>
        <w:rPr>
          <w:i/>
          <w:iCs/>
        </w:rPr>
        <w:t xml:space="preserve">raised</w:t>
      </w:r>
      <w:r>
        <w:t xml:space="preserve"> </w:t>
      </w:r>
      <w:r>
        <w:t xml:space="preserve">segment OI, EPS and FCF guidance at the Q2 print. This year it only reaffirmed at Q1. With Q1 organic sales +5%, segment margin 10.8%, and management repeatedly citing an "opportunity-rich" environment, the bull case wants a raise (especially on segment OI/EPS). A simple reaffirmation — particularly on</w:t>
      </w:r>
      <w:r>
        <w:t xml:space="preserve"> </w:t>
      </w:r>
      <w:r>
        <w:rPr>
          <w:b/>
          <w:bCs/>
        </w:rPr>
        <w:t xml:space="preserve">free cash flow</w:t>
      </w:r>
      <w:r>
        <w:t xml:space="preserve">, given the stepped-up capex — could disappoint a market already skeptical of the cash story. Watch the full-year margin cadence commentary; management has said margins should improve through the year on "performance, production timing and mix."</w:t>
      </w:r>
    </w:p>
    <w:p>
      <w:pPr>
        <w:pStyle w:val="BodyText"/>
      </w:pPr>
      <w:r>
        <w:rPr>
          <w:b/>
          <w:bCs/>
        </w:rPr>
        <w:t xml:space="preserve">Quick sanity check on EPS math:</w:t>
      </w:r>
      <w:r>
        <w:t xml:space="preserve"> </w:t>
      </w:r>
      <w:r>
        <w:t xml:space="preserve">Q1 came in at</w:t>
      </w:r>
      <w:r>
        <w:t xml:space="preserve"> </w:t>
      </w:r>
      <m:oMath>
        <m:r>
          <m:t>6.14</m:t>
        </m:r>
        <m:r>
          <m:rPr>
            <m:sty m:val="p"/>
          </m:rPr>
          <m:t>.</m:t>
        </m:r>
        <m:r>
          <m:t>T</m:t>
        </m:r>
        <m:r>
          <m:t>h</m:t>
        </m:r>
        <m:r>
          <m:t>e</m:t>
        </m:r>
        <m:r>
          <m:t>f</m:t>
        </m:r>
        <m:r>
          <m:t>u</m:t>
        </m:r>
        <m:r>
          <m:t>l</m:t>
        </m:r>
        <m:r>
          <m:t>l</m:t>
        </m:r>
        <m:r>
          <m:rPr>
            <m:sty m:val="p"/>
          </m:rPr>
          <m:t>−</m:t>
        </m:r>
        <m:r>
          <m:t>y</m:t>
        </m:r>
        <m:r>
          <m:t>e</m:t>
        </m:r>
        <m:r>
          <m:t>a</m:t>
        </m:r>
        <m:r>
          <m:t>r</m:t>
        </m:r>
        <m:r>
          <m:t>M</m:t>
        </m:r>
        <m:r>
          <m:t>T</m:t>
        </m:r>
        <m:r>
          <m:t>M</m:t>
        </m:r>
        <m:r>
          <m:rPr>
            <m:sty m:val="p"/>
          </m:rPr>
          <m:t>−</m:t>
        </m:r>
        <m:r>
          <m:t>a</m:t>
        </m:r>
        <m:r>
          <m:t>d</m:t>
        </m:r>
        <m:r>
          <m:t>j</m:t>
        </m:r>
        <m:r>
          <m:t>m</m:t>
        </m:r>
        <m:r>
          <m:t>i</m:t>
        </m:r>
        <m:r>
          <m:t>d</m:t>
        </m:r>
        <m:r>
          <m:t>p</m:t>
        </m:r>
        <m:r>
          <m:t>o</m:t>
        </m:r>
        <m:r>
          <m:t>i</m:t>
        </m:r>
        <m:r>
          <m:t>n</m:t>
        </m:r>
        <m:r>
          <m:t>t</m:t>
        </m:r>
        <m:r>
          <m:rPr>
            <m:sty m:val="p"/>
          </m:rPr>
          <m:t>(</m:t>
        </m:r>
        <m:r>
          <m:t> </m:t>
        </m:r>
      </m:oMath>
      <w:r>
        <w:t xml:space="preserve">27.65) implies ~</w:t>
      </w:r>
      <m:oMath>
        <m:r>
          <m:t>21.5</m:t>
        </m:r>
        <m:r>
          <m:t>a</m:t>
        </m:r>
        <m:r>
          <m:t>c</m:t>
        </m:r>
        <m:r>
          <m:t>r</m:t>
        </m:r>
        <m:r>
          <m:t>o</m:t>
        </m:r>
        <m:r>
          <m:t>s</m:t>
        </m:r>
        <m:r>
          <m:t>s</m:t>
        </m:r>
        <m:r>
          <m:t>t</m:t>
        </m:r>
        <m:r>
          <m:t>h</m:t>
        </m:r>
        <m:r>
          <m:t>e</m:t>
        </m:r>
        <m:r>
          <m:t>r</m:t>
        </m:r>
        <m:r>
          <m:t>e</m:t>
        </m:r>
        <m:r>
          <m:t>m</m:t>
        </m:r>
        <m:r>
          <m:t>a</m:t>
        </m:r>
        <m:r>
          <m:t>i</m:t>
        </m:r>
        <m:r>
          <m:t>n</m:t>
        </m:r>
        <m:r>
          <m:t>i</m:t>
        </m:r>
        <m:r>
          <m:t>n</m:t>
        </m:r>
        <m:r>
          <m:t>g</m:t>
        </m:r>
        <m:r>
          <m:t>t</m:t>
        </m:r>
        <m:r>
          <m:t>h</m:t>
        </m:r>
        <m:r>
          <m:t>r</m:t>
        </m:r>
        <m:r>
          <m:t>e</m:t>
        </m:r>
        <m:r>
          <m:t>e</m:t>
        </m:r>
        <m:r>
          <m:t>q</m:t>
        </m:r>
        <m:r>
          <m:t>u</m:t>
        </m:r>
        <m:r>
          <m:t>a</m:t>
        </m:r>
        <m:r>
          <m:t>r</m:t>
        </m:r>
        <m:r>
          <m:t>t</m:t>
        </m:r>
        <m:r>
          <m:t>e</m:t>
        </m:r>
        <m:r>
          <m:t>r</m:t>
        </m:r>
        <m:r>
          <m:t>s</m:t>
        </m:r>
        <m:r>
          <m:rPr>
            <m:sty m:val="p"/>
          </m:rPr>
          <m:t>,</m:t>
        </m:r>
        <m:r>
          <m:t>o</m:t>
        </m:r>
        <m:r>
          <m:t>r</m:t>
        </m:r>
        <m:r>
          <m:t> </m:t>
        </m:r>
      </m:oMath>
      <w:r>
        <w:t xml:space="preserve">7.1–7.3/quarter — so the ~$6.83 Q2 consensus is consistent with the usual H2 skew, not a signal of deterioration.</w:t>
      </w:r>
    </w:p>
    <w:p>
      <w:r>
        <w:pict>
          <v:rect style="width:0;height:1.5pt" o:hralign="center" o:hrstd="t" o:hr="t"/>
        </w:pict>
      </w:r>
    </w:p>
    <w:bookmarkEnd w:id="12"/>
    <w:bookmarkStart w:id="13" w:name="Xe47f3626367680a66ae0cd435856c2c314deaf6"/>
    <w:p>
      <w:pPr>
        <w:pStyle w:val="Heading2"/>
      </w:pPr>
      <w:r>
        <w:t xml:space="preserve">4. Program-level watch list</w:t>
      </w:r>
    </w:p>
    <w:p>
      <w:pPr>
        <w:pStyle w:val="FirstParagraph"/>
      </w:pPr>
      <w:r>
        <w:rPr>
          <w:b/>
          <w:bCs/>
        </w:rPr>
        <w:t xml:space="preserve">B-21 Raider (Aeronautics — nearing 10% of revenue).</w:t>
      </w:r>
      <w:r>
        <w:t xml:space="preserve"> </w:t>
      </w:r>
      <w:r>
        <w:t xml:space="preserve">The defining swing factor. In Q1, Northrop finalized a deal with the Air Force to</w:t>
      </w:r>
      <w:r>
        <w:t xml:space="preserve"> </w:t>
      </w:r>
      <w:r>
        <w:rPr>
          <w:b/>
          <w:bCs/>
        </w:rPr>
        <w:t xml:space="preserve">increase the annual production rate ~25%</w:t>
      </w:r>
      <w:r>
        <w:t xml:space="preserve">, funded partly by reconciliation dollars plus ~**</w:t>
      </w:r>
      <w:r>
        <w:t xml:space="preserve">$2.5B of company-funded capex** (mostly '27–'29), and received the **Lot 4 LRIP** award. Key things to probe: any change to the LRIP EAC (management said "no significant change" in Q1, with higher early-lot costs offset by better later-lot profitability), the pace of the ~$</w:t>
      </w:r>
      <w:r>
        <w:t xml:space="preserve">200M of 2026 B-21 capex, and any movement toward a</w:t>
      </w:r>
      <w:r>
        <w:t xml:space="preserve"> </w:t>
      </w:r>
      <w:r>
        <w:rPr>
          <w:b/>
          <w:bCs/>
        </w:rPr>
        <w:t xml:space="preserve">larger program of record</w:t>
      </w:r>
      <w:r>
        <w:t xml:space="preserve">. Management asserted the deal pushes program</w:t>
      </w:r>
      <w:r>
        <w:t xml:space="preserve"> </w:t>
      </w:r>
      <w:r>
        <w:rPr>
          <w:b/>
          <w:bCs/>
        </w:rPr>
        <w:t xml:space="preserve">ROIC above cost of capital</w:t>
      </w:r>
      <w:r>
        <w:t xml:space="preserve"> </w:t>
      </w:r>
      <w:r>
        <w:t xml:space="preserve">— the market will want that reinforced. Aerial-refueling testing began in early Q2; first aircraft to Ellsworth AFB is targeted for 2027.</w:t>
      </w:r>
    </w:p>
    <w:p>
      <w:pPr>
        <w:pStyle w:val="BodyText"/>
      </w:pPr>
      <w:r>
        <w:rPr>
          <w:b/>
          <w:bCs/>
        </w:rPr>
        <w:t xml:space="preserve">Sentinel (Defense Systems — ~6–7% of revenue, ~1/3 of DS).</w:t>
      </w:r>
      <w:r>
        <w:t xml:space="preserve"> </w:t>
      </w:r>
      <w:r>
        <w:t xml:space="preserve">Growing double digits and ramping on a re-baselined program. Look for confirmation of the</w:t>
      </w:r>
      <w:r>
        <w:t xml:space="preserve"> </w:t>
      </w:r>
      <w:r>
        <w:rPr>
          <w:b/>
          <w:bCs/>
        </w:rPr>
        <w:t xml:space="preserve">Milestone B decision later in 2026</w:t>
      </w:r>
      <w:r>
        <w:t xml:space="preserve">, first flight in 2027, and IOC in the early 2030s. Silo prototype construction began in Q1.</w:t>
      </w:r>
    </w:p>
    <w:p>
      <w:pPr>
        <w:pStyle w:val="BodyText"/>
      </w:pPr>
      <w:r>
        <w:rPr>
          <w:b/>
          <w:bCs/>
        </w:rPr>
        <w:t xml:space="preserve">F/A-XX (the Q3 catalyst).</w:t>
      </w:r>
      <w:r>
        <w:t xml:space="preserve"> </w:t>
      </w:r>
      <w:r>
        <w:t xml:space="preserve">Management expects a Navy</w:t>
      </w:r>
      <w:r>
        <w:t xml:space="preserve"> </w:t>
      </w:r>
      <w:r>
        <w:rPr>
          <w:b/>
          <w:bCs/>
        </w:rPr>
        <w:t xml:space="preserve">down-select in Q3 (August)</w:t>
      </w:r>
      <w:r>
        <w:t xml:space="preserve"> </w:t>
      </w:r>
      <w:r>
        <w:t xml:space="preserve">between Northrop and Boeing, and explicitly said a win would be</w:t>
      </w:r>
      <w:r>
        <w:t xml:space="preserve"> </w:t>
      </w:r>
      <w:r>
        <w:rPr>
          <w:b/>
          <w:bCs/>
        </w:rPr>
        <w:t xml:space="preserve">upside to current sales/EPS guidance</w:t>
      </w:r>
      <w:r>
        <w:t xml:space="preserve">. This overhangs the whole print — expect pointed questions given the CNO's public comment that one bidder "lacks the capacity" to deliver on time. Any color on funding certainty and positioning will move sentiment.</w:t>
      </w:r>
    </w:p>
    <w:p>
      <w:pPr>
        <w:pStyle w:val="BodyText"/>
      </w:pPr>
      <w:r>
        <w:rPr>
          <w:b/>
          <w:bCs/>
        </w:rPr>
        <w:t xml:space="preserve">Space Systems — the margin risk to watch.</w:t>
      </w:r>
      <w:r>
        <w:t xml:space="preserve"> </w:t>
      </w:r>
      <w:r>
        <w:t xml:space="preserve">Q1 was the soft spot: sales −3% (NGI wind-down) and a</w:t>
      </w:r>
      <w:r>
        <w:t xml:space="preserve"> </w:t>
      </w:r>
      <w:r>
        <w:rPr>
          <w:b/>
          <w:bCs/>
        </w:rPr>
        <w:t xml:space="preserve">$71M unfavorable EAC on the GEM 63XL</w:t>
      </w:r>
      <w:r>
        <w:t xml:space="preserve"> </w:t>
      </w:r>
      <w:r>
        <w:t xml:space="preserve">solid rocket motor tied to a launch anomaly. Management said it saw no other significant negative EACs, but a second quarter of space charges would feed the bear thesis. Offsets: strong book-to-bill (~1.3 in 2025), SDA Tranche 3 tracking-layer ramp, and restricted growth.</w:t>
      </w:r>
    </w:p>
    <w:p>
      <w:pPr>
        <w:pStyle w:val="BodyText"/>
      </w:pPr>
      <w:r>
        <w:rPr>
          <w:b/>
          <w:bCs/>
        </w:rPr>
        <w:t xml:space="preserve">Munitions / Solid Rocket Motors &amp; Missile Defense (each ~10% of company sales).</w:t>
      </w:r>
      <w:r>
        <w:t xml:space="preserve"> </w:t>
      </w:r>
      <w:r>
        <w:t xml:space="preserve">Framed as the fastest-growing part of the portfolio. Northrop is scaling as a second-source SRM supplier (GMLRS, PrSM, Hellfire, AIM-9X; qualifying for PAC-3), with tactical SRM capacity already doubled and more coming by 2027. Missile-defense catalysts:</w:t>
      </w:r>
      <w:r>
        <w:t xml:space="preserve"> </w:t>
      </w:r>
      <w:r>
        <w:rPr>
          <w:b/>
          <w:bCs/>
        </w:rPr>
        <w:t xml:space="preserve">Golden Dome C2 role</w:t>
      </w:r>
      <w:r>
        <w:t xml:space="preserve"> </w:t>
      </w:r>
      <w:r>
        <w:t xml:space="preserve">and the</w:t>
      </w:r>
      <w:r>
        <w:t xml:space="preserve"> </w:t>
      </w:r>
      <w:r>
        <w:rPr>
          <w:b/>
          <w:bCs/>
        </w:rPr>
        <w:t xml:space="preserve">Glide Phase Interceptor</w:t>
      </w:r>
      <w:r>
        <w:t xml:space="preserve"> </w:t>
      </w:r>
      <w:r>
        <w:t xml:space="preserve">(now $1.3B total). Note the competitive backdrop — Lockheed just unveiled a cheaper PAC-3 "ACE" interceptor (July 20), underscoring customer appetite for lower-cost, faster-to-field solutions.</w:t>
      </w:r>
    </w:p>
    <w:p>
      <w:r>
        <w:pict>
          <v:rect style="width:0;height:1.5pt" o:hralign="center" o:hrstd="t" o:hr="t"/>
        </w:pict>
      </w:r>
    </w:p>
    <w:bookmarkEnd w:id="13"/>
    <w:bookmarkStart w:id="14" w:name="X7feff9302598b9da337a6c1f2d442537729dcb7"/>
    <w:p>
      <w:pPr>
        <w:pStyle w:val="Heading2"/>
      </w:pPr>
      <w:r>
        <w:t xml:space="preserve">5. Backlog, bookings and cash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Backlog</w:t>
      </w:r>
      <w:r>
        <w:t xml:space="preserve"> </w:t>
      </w:r>
      <w:r>
        <w:t xml:space="preserve">was ~</w:t>
      </w:r>
      <m:oMath>
        <m:r>
          <m:t>95.6</m:t>
        </m:r>
        <m:r>
          <m:t>B</m:t>
        </m:r>
        <m:r>
          <m:t>a</m:t>
        </m:r>
        <m:r>
          <m:t>t</m:t>
        </m:r>
        <m:r>
          <m:t>Q</m:t>
        </m:r>
        <m:r>
          <m:t>1</m:t>
        </m:r>
        <m:r>
          <m:rPr>
            <m:sty m:val="p"/>
          </m:rPr>
          <m:t>(</m:t>
        </m:r>
        <m:r>
          <m:t>r</m:t>
        </m:r>
        <m:r>
          <m:t>o</m:t>
        </m:r>
        <m:r>
          <m:t>u</m:t>
        </m:r>
        <m:r>
          <m:t>g</m:t>
        </m:r>
        <m:r>
          <m:t>h</m:t>
        </m:r>
        <m:r>
          <m:t>l</m:t>
        </m:r>
        <m:r>
          <m:t>y</m:t>
        </m:r>
        <m:r>
          <m:t>f</m:t>
        </m:r>
        <m:r>
          <m:t>l</m:t>
        </m:r>
        <m:r>
          <m:t>a</m:t>
        </m:r>
        <m:r>
          <m:t>t</m:t>
        </m:r>
        <m:r>
          <m:t>v</m:t>
        </m:r>
        <m:r>
          <m:t>s</m:t>
        </m:r>
        <m:r>
          <m:rPr>
            <m:sty m:val="p"/>
          </m:rPr>
          <m:t>.</m:t>
        </m:r>
        <m:r>
          <m:t>y</m:t>
        </m:r>
        <m:r>
          <m:t>e</m:t>
        </m:r>
        <m:r>
          <m:t>a</m:t>
        </m:r>
        <m:r>
          <m:t>r</m:t>
        </m:r>
        <m:r>
          <m:rPr>
            <m:sty m:val="p"/>
          </m:rPr>
          <m:t>−</m:t>
        </m:r>
        <m:r>
          <m:t>e</m:t>
        </m:r>
        <m:r>
          <m:t>n</m:t>
        </m:r>
        <m:r>
          <m:t>d</m:t>
        </m:r>
        <m:r>
          <m:rPr>
            <m:sty m:val="p"/>
          </m:rPr>
          <m:t>)</m:t>
        </m:r>
        <m:r>
          <m:rPr>
            <m:sty m:val="p"/>
          </m:rPr>
          <m:t>,</m:t>
        </m:r>
        <m:r>
          <m:t>w</m:t>
        </m:r>
        <m:r>
          <m:t>i</m:t>
        </m:r>
        <m:r>
          <m:t>t</m:t>
        </m:r>
        <m:r>
          <m:t>h</m:t>
        </m:r>
        <m:r>
          <m:t>a</m:t>
        </m:r>
        <m:r>
          <m:t>Q</m:t>
        </m:r>
        <m:r>
          <m:t>1</m:t>
        </m:r>
        <m:r>
          <m:t>b</m:t>
        </m:r>
        <m:r>
          <m:t>o</m:t>
        </m:r>
        <m:r>
          <m:t>o</m:t>
        </m:r>
        <m:r>
          <m:t>k</m:t>
        </m:r>
        <m:r>
          <m:rPr>
            <m:sty m:val="p"/>
          </m:rPr>
          <m:t>−</m:t>
        </m:r>
        <m:r>
          <m:t>t</m:t>
        </m:r>
        <m:r>
          <m:t>o</m:t>
        </m:r>
        <m:r>
          <m:rPr>
            <m:sty m:val="p"/>
          </m:rPr>
          <m:t>−</m:t>
        </m:r>
        <m:r>
          <m:t>b</m:t>
        </m:r>
        <m:r>
          <m:t>i</m:t>
        </m:r>
        <m:r>
          <m:t>l</m:t>
        </m:r>
        <m:r>
          <m:t>l</m:t>
        </m:r>
        <m:r>
          <m:t>o</m:t>
        </m:r>
        <m:r>
          <m:t>f</m:t>
        </m:r>
        <m:r>
          <m:t> </m:t>
        </m:r>
        <m:r>
          <m:t>1.0</m:t>
        </m:r>
        <m:r>
          <m:rPr>
            <m:sty m:val="p"/>
          </m:rPr>
          <m:t>(</m:t>
        </m:r>
      </m:oMath>
      <w:r>
        <w:t xml:space="preserve">9.8B awards). Watch for a step-up as FY26 appropriations and reconciliation funds flow onto contracts — management flagged large awards still to be booked.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Cash flow is seasonal and back-half loaded.</w:t>
      </w:r>
      <w:r>
        <w:t xml:space="preserve"> </w:t>
      </w:r>
      <w:r>
        <w:t xml:space="preserve">H1 is typically a cash</w:t>
      </w:r>
      <w:r>
        <w:t xml:space="preserve"> </w:t>
      </w:r>
      <w:r>
        <w:rPr>
          <w:i/>
          <w:iCs/>
        </w:rPr>
        <w:t xml:space="preserve">use</w:t>
      </w:r>
      <w:r>
        <w:t xml:space="preserve"> </w:t>
      </w:r>
      <w:r>
        <w:t xml:space="preserve">(Q1 2026 FCF was −$1.8B, in line with prior year). Don't be alarmed by a soft H1 cash number; the real test is whether the</w:t>
      </w:r>
      <w:r>
        <w:t xml:space="preserve"> </w:t>
      </w:r>
      <w:r>
        <w:rPr>
          <w:b/>
          <w:bCs/>
        </w:rPr>
        <w:t xml:space="preserve">full-year $3.1–3.5B FCF range holds</w:t>
      </w:r>
      <w:r>
        <w:t xml:space="preserve"> </w:t>
      </w:r>
      <w:r>
        <w:t xml:space="preserve">despite higher capex. Management said it is "working to offset" the incremental B-21 investment.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Capital returns:</w:t>
      </w:r>
      <w:r>
        <w:t xml:space="preserve"> </w:t>
      </w:r>
      <w:r>
        <w:t xml:space="preserve">Q1 buybacks slowed sharply (~$68M vs.</w:t>
      </w:r>
      <w:r>
        <w:t xml:space="preserve"> </w:t>
      </w:r>
      <m:oMath>
        <m:r>
          <m:t>480</m:t>
        </m:r>
        <m:r>
          <m:t>M</m:t>
        </m:r>
        <m:r>
          <m:t>a</m:t>
        </m:r>
        <m:r>
          <m:t>y</m:t>
        </m:r>
        <m:r>
          <m:t>e</m:t>
        </m:r>
        <m:r>
          <m:t>a</m:t>
        </m:r>
        <m:r>
          <m:t>r</m:t>
        </m:r>
        <m:r>
          <m:t>e</m:t>
        </m:r>
        <m:r>
          <m:t>a</m:t>
        </m:r>
        <m:r>
          <m:t>r</m:t>
        </m:r>
        <m:r>
          <m:t>l</m:t>
        </m:r>
        <m:r>
          <m:t>i</m:t>
        </m:r>
        <m:r>
          <m:t>e</m:t>
        </m:r>
        <m:r>
          <m:t>r</m:t>
        </m:r>
        <m:r>
          <m:rPr>
            <m:sty m:val="p"/>
          </m:rPr>
          <m:t>)</m:t>
        </m:r>
        <m:r>
          <m:t>a</m:t>
        </m:r>
        <m:r>
          <m:t>s</m:t>
        </m:r>
        <m:r>
          <m:t>c</m:t>
        </m:r>
        <m:r>
          <m:t>a</m:t>
        </m:r>
        <m:r>
          <m:t>s</m:t>
        </m:r>
        <m:r>
          <m:t>h</m:t>
        </m:r>
        <m:r>
          <m:t>w</m:t>
        </m:r>
        <m:r>
          <m:t>e</m:t>
        </m:r>
        <m:r>
          <m:t>n</m:t>
        </m:r>
        <m:r>
          <m:t>t</m:t>
        </m:r>
        <m:r>
          <m:t>t</m:t>
        </m:r>
        <m:r>
          <m:t>o</m:t>
        </m:r>
        <m:r>
          <m:t>d</m:t>
        </m:r>
        <m:r>
          <m:t>e</m:t>
        </m:r>
        <m:r>
          <m:t>b</m:t>
        </m:r>
        <m:r>
          <m:t>t</m:t>
        </m:r>
        <m:r>
          <m:t>p</m:t>
        </m:r>
        <m:r>
          <m:t>a</m:t>
        </m:r>
        <m:r>
          <m:t>y</m:t>
        </m:r>
        <m:r>
          <m:t>d</m:t>
        </m:r>
        <m:r>
          <m:t>o</m:t>
        </m:r>
        <m:r>
          <m:t>w</m:t>
        </m:r>
        <m:r>
          <m:t>n</m:t>
        </m:r>
        <m:r>
          <m:rPr>
            <m:sty m:val="p"/>
          </m:rPr>
          <m:t>(</m:t>
        </m:r>
      </m:oMath>
      <w:r>
        <w:t xml:space="preserve">527M) and reinvestment. With the shares down hard, watch whether repurchase pace picks back up — a lever the bulls will want pulled.</w:t>
      </w:r>
    </w:p>
    <w:p>
      <w:r>
        <w:pict>
          <v:rect style="width:0;height:1.5pt" o:hralign="center" o:hrstd="t" o:hr="t"/>
        </w:pict>
      </w:r>
    </w:p>
    <w:bookmarkEnd w:id="14"/>
    <w:bookmarkStart w:id="15" w:name="X69613ff882fd9397c272e02a21b0dca5d10073e"/>
    <w:p>
      <w:pPr>
        <w:pStyle w:val="Heading2"/>
      </w:pPr>
      <w:r>
        <w:t xml:space="preserve">6. Macro &amp; policy cross-currents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Budget tailwind:</w:t>
      </w:r>
      <w:r>
        <w:t xml:space="preserve"> </w:t>
      </w:r>
      <w:r>
        <w:t xml:space="preserve">A</w:t>
      </w:r>
      <w:r>
        <w:t xml:space="preserve"> </w:t>
      </w:r>
      <w:r>
        <w:rPr>
          <w:b/>
          <w:bCs/>
        </w:rPr>
        <w:t xml:space="preserve">$1.5T FY27 request (+44%)</w:t>
      </w:r>
      <w:r>
        <w:t xml:space="preserve">, with the base budget alone up ~30%, sustaining B-21, Sentinel, IBCS, E-2D and restricted work — a multi-year demand signal management leans on heavily. Global defense spending is up ~40% over the past decade and rising.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New supply-chain executive order (July 20):</w:t>
      </w:r>
      <w:r>
        <w:t xml:space="preserve"> </w:t>
      </w:r>
      <w:r>
        <w:t xml:space="preserve">The administration ordered contractors to map supply chains and cut ties with "foreign suppliers of concern" (notably China), with waivers requiring proof that alternatives are exhausted. A potential compliance/cost overhang across the sector worth a question.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Rate/valuation risk:</w:t>
      </w:r>
      <w:r>
        <w:t xml:space="preserve"> </w:t>
      </w:r>
      <w:r>
        <w:t xml:space="preserve">The macro tape now features a</w:t>
      </w:r>
      <w:r>
        <w:t xml:space="preserve"> </w:t>
      </w:r>
      <w:r>
        <w:rPr>
          <w:b/>
          <w:bCs/>
        </w:rPr>
        <w:t xml:space="preserve">hawkish Fed under new Chair Kevin Warsh</w:t>
      </w:r>
      <w:r>
        <w:t xml:space="preserve">, with policymakers openly discussing</w:t>
      </w:r>
      <w:r>
        <w:t xml:space="preserve"> </w:t>
      </w:r>
      <w:r>
        <w:rPr>
          <w:i/>
          <w:iCs/>
        </w:rPr>
        <w:t xml:space="preserve">hikes</w:t>
      </w:r>
      <w:r>
        <w:t xml:space="preserve">. Higher-for-longer rates pressure both NOC's ~$14.4B debt/interest expense and the multiple on a long-duration, capex-heavy defense compounder that had re-rated sharply — a plausible piece of why the stock de-rated from its March highs.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The "cheap-drone" debate:</w:t>
      </w:r>
      <w:r>
        <w:t xml:space="preserve"> </w:t>
      </w:r>
      <w:r>
        <w:t xml:space="preserve">The bear narrative — that warfare is shifting toward low-cost attritable systems and new entrants (Anduril, SpaceX-type players) — was explicitly cited in the pre-earnings press setup. Expect management to counter with its munitions/counter-UAS positioning and capacity investments.</w:t>
      </w:r>
    </w:p>
    <w:p>
      <w:r>
        <w:pict>
          <v:rect style="width:0;height:1.5pt" o:hralign="center" o:hrstd="t" o:hr="t"/>
        </w:pict>
      </w:r>
    </w:p>
    <w:bookmarkEnd w:id="15"/>
    <w:bookmarkStart w:id="16" w:name="X07c169db827caee0fc0ed182f9b8b9d095a8417"/>
    <w:p>
      <w:pPr>
        <w:pStyle w:val="Heading2"/>
      </w:pPr>
      <w:r>
        <w:t xml:space="preserve">7. Bull vs. bear into the print</w:t>
      </w:r>
    </w:p>
    <w:p>
      <w:pPr>
        <w:pStyle w:val="FirstParagraph"/>
      </w:pPr>
      <w:r>
        <w:rPr>
          <w:b/>
          <w:bCs/>
        </w:rPr>
        <w:t xml:space="preserve">Bull case:</w:t>
      </w:r>
      <w:r>
        <w:t xml:space="preserve"> </w:t>
      </w:r>
      <w:r>
        <w:t xml:space="preserve">Reaffirmed-to-raised guidance; B-21 rate ramp with improving lifetime economics and ROIC above cost of capital; Sentinel and munitions compounding; a potential F/A-XX win as free option value; record backlog with reconciliation dollars still to convert; a stock that has already de-rated ~30% from highs, resetting expectations.</w:t>
      </w:r>
    </w:p>
    <w:p>
      <w:pPr>
        <w:pStyle w:val="BodyText"/>
      </w:pPr>
      <w:r>
        <w:rPr>
          <w:b/>
          <w:bCs/>
        </w:rPr>
        <w:t xml:space="preserve">Bear case:</w:t>
      </w:r>
      <w:r>
        <w:t xml:space="preserve"> </w:t>
      </w:r>
      <w:r>
        <w:t xml:space="preserve">Another Space EAC/charge; only a reaffirmation (especially on FCF) as capex climbs; tough Q2 comp masking limited underlying EPS growth; rising-rate pressure on the multiple and interest costs; structural questions about attritable/low-cost competition; and a still-back-half-loaded cash story that requires a big Q4.</w:t>
      </w:r>
    </w:p>
    <w:p>
      <w:r>
        <w:pict>
          <v:rect style="width:0;height:1.5pt" o:hralign="center" o:hrstd="t" o:hr="t"/>
        </w:pict>
      </w:r>
    </w:p>
    <w:bookmarkEnd w:id="16"/>
    <w:bookmarkStart w:id="17" w:name="X8505ac068e3301dcf1957c607acb53dc7b0700b"/>
    <w:p>
      <w:pPr>
        <w:pStyle w:val="Heading2"/>
      </w:pPr>
      <w:r>
        <w:t xml:space="preserve">8. What likely moves the stock on the day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Guidance action</w:t>
      </w:r>
      <w:r>
        <w:t xml:space="preserve"> </w:t>
      </w:r>
      <w:r>
        <w:t xml:space="preserve">— a raise (segment OI/EPS/FCF) vs. reaffirmation is the primary driver.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Free cash flow reassurance</w:t>
      </w:r>
      <w:r>
        <w:t xml:space="preserve"> </w:t>
      </w:r>
      <w:r>
        <w:t xml:space="preserve">— any hint the $3.1–3.5B range is at risk from B-21 capex would hurt.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Space Systems margins</w:t>
      </w:r>
      <w:r>
        <w:t xml:space="preserve"> </w:t>
      </w:r>
      <w:r>
        <w:t xml:space="preserve">— clean quarter vs. a second charge.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F/A-XX commentary</w:t>
      </w:r>
      <w:r>
        <w:t xml:space="preserve"> </w:t>
      </w:r>
      <w:r>
        <w:t xml:space="preserve">— timing/confidence ahead of the August decision.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Bookings/book-to-bill</w:t>
      </w:r>
      <w:r>
        <w:t xml:space="preserve"> </w:t>
      </w:r>
      <w:r>
        <w:t xml:space="preserve">— evidence reconciliation and FY26 funds are converting to backlog.</w:t>
      </w:r>
    </w:p>
    <w:p>
      <w:pPr>
        <w:pStyle w:val="FirstParagraph"/>
      </w:pPr>
      <w:r>
        <w:rPr>
          <w:b/>
          <w:bCs/>
        </w:rPr>
        <w:t xml:space="preserve">Bottom line:</w:t>
      </w:r>
      <w:r>
        <w:t xml:space="preserve"> </w:t>
      </w:r>
      <w:r>
        <w:t xml:space="preserve">Consensus (~</w:t>
      </w:r>
      <m:oMath>
        <m:r>
          <m:t>10.8</m:t>
        </m:r>
        <m:r>
          <m:t>B</m:t>
        </m:r>
        <m:r>
          <m:t>r</m:t>
        </m:r>
        <m:r>
          <m:t>e</m:t>
        </m:r>
        <m:r>
          <m:t>v</m:t>
        </m:r>
        <m:r>
          <m:t>e</m:t>
        </m:r>
        <m:r>
          <m:t>n</m:t>
        </m:r>
        <m:r>
          <m:t>u</m:t>
        </m:r>
        <m:r>
          <m:t>e</m:t>
        </m:r>
        <m:r>
          <m:rPr>
            <m:sty m:val="p"/>
          </m:rPr>
          <m:t>,</m:t>
        </m:r>
        <m:r>
          <m:t> </m:t>
        </m:r>
      </m:oMath>
      <w:r>
        <w:t xml:space="preserve">6.83 EPS) sets a beatable bar given the sequential guide and back-half skew, so the operative debate is guidance and cash — not the headline Q2 print. After a sharp de-rating, the risk/reward increasingly hinges on management converting an undeniably strong demand environment into raised targets and a credible free-cash-flow bridge, with the F/A-XX decision looming as the next major catalyst just weeks after this report.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Sources: NOC Q1 2026 earnings release and conference call transcript (April 21, 2026); Q2 2025 earnings release (July 22, 2025); daily news digests and NOC price history through July 20, 2026. This is an informational earnings preview, not investment advice.</w:t>
      </w:r>
    </w:p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2026-07-21T00:53:19Z</dcterms:created>
  <dcterms:modified xsi:type="dcterms:W3CDTF">2026-07-21T00:53:19Z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