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c-earnings-predictions--2026-07-21"/>
    <w:p>
      <w:pPr>
        <w:pStyle w:val="Heading1"/>
      </w:pPr>
      <w:r>
        <w:t xml:space="preserve">NOC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10.92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~$27.65 (midpoint, unchanged</w:t>
            </w:r>
            <w:r>
              <w:t xml:space="preserve"> </w:t>
            </w:r>
            <m:oMath>
              <m:r>
                <m:t>27.40</m:t>
              </m:r>
              <m:r>
                <m:rPr>
                  <m:sty m:val="p"/>
                </m:rPr>
                <m:t>−</m:t>
              </m:r>
            </m:oMath>
            <w:r>
              <w:t xml:space="preserve">27.90) vs. cons ~$27.93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~$3.3B (midpoint, unchanged</w:t>
            </w:r>
            <w:r>
              <w:t xml:space="preserve"> </w:t>
            </w:r>
            <m:oMath>
              <m:r>
                <m:t>3.1</m:t>
              </m:r>
              <m:r>
                <m:rPr>
                  <m:sty m:val="p"/>
                </m:rPr>
                <m:t>−</m:t>
              </m:r>
            </m:oMath>
            <w:r>
              <w:t xml:space="preserve">3.5B) vs. cons ~$3.3B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~$43.75B (midpoint, unchanged</w:t>
            </w:r>
            <w:r>
              <w:t xml:space="preserve"> </w:t>
            </w:r>
            <m:oMath>
              <m:r>
                <m:t>43.5</m:t>
              </m:r>
              <m:r>
                <m:rPr>
                  <m:sty m:val="p"/>
                </m:rPr>
                <m:t>−</m:t>
              </m:r>
            </m:oMath>
            <w:r>
              <w:t xml:space="preserve">44.0B) vs. cons ~$43.8B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Space Systems segment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margin (reiterated) vs. cons ~11%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An EPS/revenue beat should spark a short-covering relief bounce given deeply oversold conditions and already-slashed sell-side targets, but the FY2026 EPS guide (~</w:t>
            </w:r>
            <m:oMath>
              <m:r>
                <m:t>27.65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s</m:t>
              </m:r>
              <m:r>
                <m:t>i</m:t>
              </m:r>
              <m:r>
                <m:t>t</m:t>
              </m:r>
              <m:r>
                <m:t>s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27.93), so analysts likely trim out-year numbers toward guidance even after a headline beat — the same dynamic that turned Q1's beat into a ~19% post-print decline via FCF/EAC concerns. Continued B-21 capex ramp and uncertain H2 cash conversion keep FCF-driven revision risk alive, causing the initial pop to fade over the week rather than follow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2026-07-21T01:40:42Z</dcterms:created>
  <dcterms:modified xsi:type="dcterms:W3CDTF">2026-07-21T01:40:42Z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