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a4b50da5d4b54f31840ca8787dff0241368c729"/>
    <w:p>
      <w:pPr>
        <w:pStyle w:val="Heading1"/>
      </w:pPr>
      <w:r>
        <w:t xml:space="preserve">Northrop Grumman (NOC) 2026 Q2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Northrop Grumman officially scheduled its second-quarter results for</w:t>
      </w:r>
      <w:r>
        <w:t xml:space="preserve"> </w:t>
      </w:r>
      <w:r>
        <w:rPr>
          <w:b/>
          <w:bCs/>
        </w:rPr>
        <w:t xml:space="preserve">Tuesday, July 21, 2026, before the market opens</w:t>
      </w:r>
      <w:r>
        <w:t xml:space="preserve">, with the earnings call at</w:t>
      </w:r>
      <w:r>
        <w:t xml:space="preserve"> </w:t>
      </w:r>
      <w:r>
        <w:rPr>
          <w:b/>
          <w:bCs/>
        </w:rPr>
        <w:t xml:space="preserve">9:30 a.m. ET that same day</w:t>
      </w:r>
      <w:r>
        <w:t xml:space="preserve">—not July 22. This preview uses information available before the release.</w:t>
      </w:r>
    </w:p>
    <w:bookmarkStart w:id="9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The central question is not whether defense demand is strong. It clearly is. The question is whether Northrop can convert that demand into</w:t>
      </w:r>
      <w:r>
        <w:t xml:space="preserve"> </w:t>
      </w:r>
      <w:r>
        <w:rPr>
          <w:b/>
          <w:bCs/>
        </w:rPr>
        <w:t xml:space="preserve">profitable revenue growth and cash flow</w:t>
      </w:r>
      <w:r>
        <w:t xml:space="preserve"> </w:t>
      </w:r>
      <w:r>
        <w:t xml:space="preserve">without additional execution charges or a larger capital-spending burden.</w:t>
      </w:r>
    </w:p>
    <w:p>
      <w:pPr>
        <w:pStyle w:val="BodyText"/>
      </w:pPr>
      <w:r>
        <w:t xml:space="preserve">The Street expects approximately: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$10.8B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$10.35B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+4.3%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$6.83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$8.15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-16.2%</w:t>
            </w:r>
          </w:p>
        </w:tc>
      </w:tr>
    </w:tbl>
    <w:p>
      <w:pPr>
        <w:pStyle w:val="BodyText"/>
      </w:pPr>
      <w:r>
        <w:t xml:space="preserve">The headline EPS comparison is misleading. Q2 2025 included a</w:t>
      </w:r>
      <w:r>
        <w:t xml:space="preserve"> </w:t>
      </w:r>
      <m:oMath>
        <m:r>
          <m:t>1.04</m:t>
        </m:r>
        <m:r>
          <m:rPr>
            <m:sty m:val="p"/>
          </m:rPr>
          <m:t>−</m:t>
        </m:r>
        <m:r>
          <m:t>p</m:t>
        </m:r>
        <m:r>
          <m:t>e</m:t>
        </m:r>
        <m:r>
          <m:t>r</m:t>
        </m:r>
        <m:r>
          <m:rPr>
            <m:sty m:val="p"/>
          </m:rPr>
          <m:t>−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g</m:t>
        </m:r>
        <m:r>
          <m:t>a</m:t>
        </m:r>
        <m:r>
          <m:t>i</m:t>
        </m:r>
        <m:r>
          <m:t>n</m:t>
        </m:r>
        <m:r>
          <m:t>f</m:t>
        </m:r>
        <m:r>
          <m:t>r</m:t>
        </m:r>
        <m:r>
          <m:t>o</m:t>
        </m:r>
        <m:r>
          <m:t>m</m:t>
        </m:r>
        <m:r>
          <m:t>t</m:t>
        </m:r>
        <m:r>
          <m:t>h</m:t>
        </m:r>
        <m:r>
          <m:t>e</m:t>
        </m:r>
        <m:r>
          <m:t>d</m:t>
        </m:r>
        <m:r>
          <m:t>i</m:t>
        </m:r>
        <m:r>
          <m:t>v</m:t>
        </m:r>
        <m:r>
          <m:t>e</m:t>
        </m:r>
        <m:r>
          <m:t>s</m:t>
        </m:r>
        <m:r>
          <m:t>t</m:t>
        </m:r>
        <m:r>
          <m:t>i</m:t>
        </m:r>
        <m:r>
          <m:t>t</m:t>
        </m:r>
        <m:r>
          <m:t>u</m:t>
        </m:r>
        <m:r>
          <m:t>r</m:t>
        </m:r>
        <m:r>
          <m:t>e</m:t>
        </m:r>
        <m:r>
          <m:t>o</m:t>
        </m:r>
        <m:r>
          <m:t>f</m:t>
        </m:r>
        <m:r>
          <m:t>N</m:t>
        </m:r>
        <m:r>
          <m:t>o</m:t>
        </m:r>
        <m:r>
          <m:t>r</m:t>
        </m:r>
        <m:r>
          <m:t>t</m:t>
        </m:r>
        <m:r>
          <m:t>h</m:t>
        </m:r>
        <m:r>
          <m:t>r</m:t>
        </m:r>
        <m:r>
          <m:t>o</m:t>
        </m:r>
        <m:r>
          <m:t>p</m:t>
        </m:r>
        <m:r>
          <m:rPr>
            <m:sty m:val="p"/>
          </m:rPr>
          <m:t>’</m:t>
        </m:r>
        <m:r>
          <m:t>s</m:t>
        </m:r>
        <m:r>
          <m:t>t</m:t>
        </m:r>
        <m:r>
          <m:t>r</m:t>
        </m:r>
        <m:r>
          <m:t>a</m:t>
        </m:r>
        <m:r>
          <m:t>i</m:t>
        </m:r>
        <m:r>
          <m:t>n</m:t>
        </m:r>
        <m:r>
          <m:t>i</m:t>
        </m:r>
        <m:r>
          <m:t>n</m:t>
        </m:r>
        <m:r>
          <m:t>g</m:t>
        </m:r>
        <m:r>
          <m:rPr>
            <m:sty m:val="p"/>
          </m:rPr>
          <m:t>−</m:t>
        </m:r>
        <m:r>
          <m:t>s</m:t>
        </m:r>
        <m:r>
          <m:t>e</m:t>
        </m:r>
        <m:r>
          <m:t>r</m:t>
        </m:r>
        <m:r>
          <m:t>v</m:t>
        </m:r>
        <m:r>
          <m:t>i</m:t>
        </m:r>
        <m:r>
          <m:t>c</m:t>
        </m:r>
        <m:r>
          <m:t>e</m:t>
        </m:r>
        <m:r>
          <m:t>s</m:t>
        </m:r>
        <m:r>
          <m:t>b</m:t>
        </m:r>
        <m:r>
          <m:t>u</m:t>
        </m:r>
        <m:r>
          <m:t>s</m:t>
        </m:r>
        <m:r>
          <m:t>i</m:t>
        </m:r>
        <m:r>
          <m:t>n</m:t>
        </m:r>
        <m:r>
          <m:t>e</m:t>
        </m:r>
        <m:r>
          <m:t>s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E</m:t>
        </m:r>
        <m:r>
          <m:t>x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a</m:t>
        </m:r>
        <m:r>
          <m:t>t</m:t>
        </m:r>
        <m:r>
          <m:t>b</m:t>
        </m:r>
        <m:r>
          <m:t>e</m:t>
        </m:r>
        <m:r>
          <m:t>n</m:t>
        </m:r>
        <m:r>
          <m:t>e</m:t>
        </m:r>
        <m:r>
          <m:t>f</m:t>
        </m:r>
        <m:r>
          <m:t>i</m:t>
        </m:r>
        <m:r>
          <m:t>t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r</m:t>
        </m:r>
        <m:r>
          <m:t>a</m:t>
        </m:r>
        <m:r>
          <m:t>b</m:t>
        </m:r>
        <m:r>
          <m:t>l</m:t>
        </m:r>
        <m:r>
          <m:t>e</m:t>
        </m:r>
        <m:r>
          <m:t>p</m:t>
        </m:r>
        <m:r>
          <m:t>r</m:t>
        </m:r>
        <m:r>
          <m:t>i</m:t>
        </m:r>
        <m:r>
          <m:t>o</m:t>
        </m:r>
        <m:r>
          <m:t>r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f</m:t>
        </m:r>
        <m:r>
          <m:t>i</m:t>
        </m:r>
        <m:r>
          <m:t>g</m:t>
        </m:r>
        <m:r>
          <m:t>u</m:t>
        </m:r>
        <m:r>
          <m:t>r</m:t>
        </m:r>
        <m:r>
          <m:t>e</m:t>
        </m:r>
        <m:r>
          <m:t>w</m:t>
        </m:r>
        <m:r>
          <m:t>a</m:t>
        </m:r>
        <m:r>
          <m:t>s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7.11</w:t>
      </w:r>
      <w:r>
        <w:t xml:space="preserve">, implying a more modest decline of roughly 4%.</w:t>
      </w:r>
    </w:p>
    <w:p>
      <w:pPr>
        <w:pStyle w:val="BodyText"/>
      </w:pPr>
      <w:r>
        <w:t xml:space="preserve">Investors should focus less on the reported EPS growth rate and more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management maintains or raises 2026 guidance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credibility of the required second-half revenue ramp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B-21 and Sentinel execution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Space Systems’ recovery from its weak first quarter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Free-cash-flow confidence despite rising capital investment</w:t>
      </w:r>
    </w:p>
    <w:p>
      <w:r>
        <w:pict>
          <v:rect style="width:0;height:1.5pt" o:hralign="center" o:hrstd="t" o:hr="t"/>
        </w:pict>
      </w:r>
    </w:p>
    <w:bookmarkEnd w:id="9"/>
    <w:bookmarkStart w:id="10" w:name="expectations-have-reset"/>
    <w:p>
      <w:pPr>
        <w:pStyle w:val="Heading2"/>
      </w:pPr>
      <w:r>
        <w:t xml:space="preserve">Expectations have reset</w:t>
      </w:r>
    </w:p>
    <w:p>
      <w:pPr>
        <w:pStyle w:val="FirstParagraph"/>
      </w:pPr>
      <w:r>
        <w:t xml:space="preserve">NOC closed July 20 at approximately</w:t>
      </w:r>
      <w:r>
        <w:t xml:space="preserve"> </w:t>
      </w:r>
      <w:r>
        <w:rPr>
          <w:b/>
          <w:bCs/>
        </w:rPr>
        <w:t xml:space="preserve">$524</w:t>
      </w:r>
      <w:r>
        <w:t xml:space="preserve">, down about</w:t>
      </w:r>
      <w:r>
        <w:t xml:space="preserve"> </w:t>
      </w:r>
      <w:r>
        <w:rPr>
          <w:b/>
          <w:bCs/>
        </w:rPr>
        <w:t xml:space="preserve">20% from April 20</w:t>
      </w:r>
      <w:r>
        <w:t xml:space="preserve">, immediately before its first-quarter report.</w:t>
      </w:r>
    </w:p>
    <w:p>
      <w:pPr>
        <w:pStyle w:val="BodyText"/>
      </w:pPr>
      <w:r>
        <w:t xml:space="preserve">The first-quarter results themselves were reasonably strong, but investors appeared to focus on:</w:t>
      </w:r>
    </w:p>
    <w:p>
      <w:pPr>
        <w:pStyle w:val="Compact"/>
        <w:numPr>
          <w:ilvl w:val="0"/>
          <w:numId w:val="1002"/>
        </w:numPr>
      </w:pPr>
      <w:r>
        <w:t xml:space="preserve">The multiyear</w:t>
      </w:r>
      <w:r>
        <w:t xml:space="preserve"> </w:t>
      </w:r>
      <w:r>
        <w:rPr>
          <w:b/>
          <w:bCs/>
        </w:rPr>
        <w:t xml:space="preserve">$2.5 billion B-21 capacity investment</w:t>
      </w:r>
    </w:p>
    <w:p>
      <w:pPr>
        <w:pStyle w:val="Compact"/>
        <w:numPr>
          <w:ilvl w:val="0"/>
          <w:numId w:val="1002"/>
        </w:numPr>
      </w:pPr>
      <w:r>
        <w:t xml:space="preserve">Capital expenditures expected to rise to approximately</w:t>
      </w:r>
      <w:r>
        <w:t xml:space="preserve"> </w:t>
      </w:r>
      <w:r>
        <w:rPr>
          <w:b/>
          <w:bCs/>
        </w:rPr>
        <w:t xml:space="preserve">4.5% of revenue in 2027 and 2028</w:t>
      </w:r>
    </w:p>
    <w:p>
      <w:pPr>
        <w:pStyle w:val="Compact"/>
        <w:numPr>
          <w:ilvl w:val="0"/>
          <w:numId w:val="1002"/>
        </w:numPr>
      </w:pPr>
      <w:r>
        <w:t xml:space="preserve">The back-end-loaded nature of free cash flow</w:t>
      </w:r>
    </w:p>
    <w:p>
      <w:pPr>
        <w:pStyle w:val="Compact"/>
        <w:numPr>
          <w:ilvl w:val="0"/>
          <w:numId w:val="1002"/>
        </w:numPr>
      </w:pPr>
      <w:r>
        <w:t xml:space="preserve">Persistent execution risk on large development programs</w:t>
      </w:r>
    </w:p>
    <w:p>
      <w:pPr>
        <w:pStyle w:val="Compact"/>
        <w:numPr>
          <w:ilvl w:val="0"/>
          <w:numId w:val="1002"/>
        </w:numPr>
      </w:pPr>
      <w:r>
        <w:t xml:space="preserve">The possibility that surging defense budgets translate into growth more slowly than expected</w:t>
      </w:r>
    </w:p>
    <w:p>
      <w:pPr>
        <w:pStyle w:val="FirstParagraph"/>
      </w:pPr>
      <w:r>
        <w:t xml:space="preserve">At $524, the shares trade at roughly</w:t>
      </w:r>
      <w:r>
        <w:t xml:space="preserve"> </w:t>
      </w:r>
      <w:r>
        <w:rPr>
          <w:b/>
          <w:bCs/>
        </w:rPr>
        <w:t xml:space="preserve">19 times the midpoint of 2026 EPS guidance</w:t>
      </w:r>
      <w:r>
        <w:t xml:space="preserve">. That is not distressed, but the selloff has reduced the bar for the quarter. A clean report with reaffirmed guidance could be enough for a positive reaction; another program charge or cash-flow concern would likely reinforce the market’s skepticism.</w:t>
      </w:r>
    </w:p>
    <w:p>
      <w:r>
        <w:pict>
          <v:rect style="width:0;height:1.5pt" o:hralign="center" o:hrstd="t" o:hr="t"/>
        </w:pict>
      </w:r>
    </w:p>
    <w:bookmarkEnd w:id="10"/>
    <w:bookmarkStart w:id="11" w:name="the-biggest-issue-the-second-half-ramp"/>
    <w:p>
      <w:pPr>
        <w:pStyle w:val="Heading2"/>
      </w:pPr>
      <w:r>
        <w:t xml:space="preserve">The biggest issue: the second-half ramp</w:t>
      </w:r>
    </w:p>
    <w:p>
      <w:pPr>
        <w:pStyle w:val="FirstParagraph"/>
      </w:pPr>
      <w:r>
        <w:t xml:space="preserve">Northrop entered the quarter guiding to: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Revenue:</w:t>
      </w:r>
      <w:r>
        <w:t xml:space="preserve"> </w:t>
      </w:r>
      <m:oMath>
        <m:r>
          <m:t>43.5</m:t>
        </m:r>
        <m:r>
          <m:t>B</m:t>
        </m:r>
        <m:r>
          <m:rPr>
            <m:sty m:val="p"/>
          </m:rPr>
          <m:t>–</m:t>
        </m:r>
      </m:oMath>
      <w:r>
        <w:t xml:space="preserve">44.0B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Segment operating income:</w:t>
      </w:r>
      <w:r>
        <w:t xml:space="preserve"> </w:t>
      </w:r>
      <m:oMath>
        <m:r>
          <m:t>4.85</m:t>
        </m:r>
        <m:r>
          <m:t>B</m:t>
        </m:r>
        <m:r>
          <m:rPr>
            <m:sty m:val="p"/>
          </m:rPr>
          <m:t>–</m:t>
        </m:r>
      </m:oMath>
      <w:r>
        <w:t xml:space="preserve">5.00B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MTM-adjusted EPS:</w:t>
      </w:r>
      <w:r>
        <w:t xml:space="preserve"> </w:t>
      </w:r>
      <m:oMath>
        <m:r>
          <m:t>27.40</m:t>
        </m:r>
        <m:r>
          <m:rPr>
            <m:sty m:val="p"/>
          </m:rPr>
          <m:t>–</m:t>
        </m:r>
      </m:oMath>
      <w:r>
        <w:t xml:space="preserve">27.90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Free cash flow:</w:t>
      </w:r>
      <w:r>
        <w:t xml:space="preserve"> </w:t>
      </w:r>
      <m:oMath>
        <m:r>
          <m:t>3.1</m:t>
        </m:r>
        <m:r>
          <m:t>B</m:t>
        </m:r>
        <m:r>
          <m:rPr>
            <m:sty m:val="p"/>
          </m:rPr>
          <m:t>–</m:t>
        </m:r>
      </m:oMath>
      <w:r>
        <w:t xml:space="preserve">3.5B</w:t>
      </w:r>
    </w:p>
    <w:p>
      <w:pPr>
        <w:pStyle w:val="FirstParagraph"/>
      </w:pPr>
      <w:r>
        <w:t xml:space="preserve">Management also forecast</w:t>
      </w:r>
      <w:r>
        <w:t xml:space="preserve"> </w:t>
      </w:r>
      <w:r>
        <w:rPr>
          <w:b/>
          <w:bCs/>
        </w:rPr>
        <w:t xml:space="preserve">high-single-digit sequential revenue growth in Q2</w:t>
      </w:r>
      <w:r>
        <w:t xml:space="preserve">. From first-quarter revenue of $9.88 billion, that points to approximately</w:t>
      </w:r>
      <w:r>
        <w:t xml:space="preserve"> </w:t>
      </w:r>
      <m:oMath>
        <m:r>
          <m:t>10.7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10.8 billion, consistent with consensus.</w:t>
      </w:r>
    </w:p>
    <w:p>
      <w:pPr>
        <w:pStyle w:val="BodyText"/>
      </w:pPr>
      <w:r>
        <w:t xml:space="preserve">However, if Northrop reports</w:t>
      </w:r>
      <w:r>
        <w:t xml:space="preserve"> </w:t>
      </w:r>
      <m:oMath>
        <m:r>
          <m:t>10.8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Q</m:t>
        </m:r>
        <m:r>
          <m:t>2</m:t>
        </m:r>
        <m:r>
          <m:t>a</m:t>
        </m:r>
        <m:r>
          <m:t>n</m:t>
        </m:r>
        <m:r>
          <m:t>d</m:t>
        </m:r>
        <m:r>
          <m:t>r</m:t>
        </m:r>
        <m:r>
          <m:t>e</m:t>
        </m:r>
        <m:r>
          <m:t>t</m:t>
        </m:r>
        <m:r>
          <m:t>a</m:t>
        </m:r>
        <m:r>
          <m:t>i</m:t>
        </m:r>
        <m:r>
          <m:t>n</m:t>
        </m:r>
        <m:r>
          <m:t>s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o</m:t>
        </m:r>
        <m:r>
          <m:t>f</m:t>
        </m:r>
        <m:r>
          <m:t>i</m:t>
        </m:r>
        <m:r>
          <m:t>t</m:t>
        </m:r>
        <m:r>
          <m:t>s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,</m:t>
        </m:r>
        <m:r>
          <m:t>i</m:t>
        </m:r>
        <m:r>
          <m:t>t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n</m:t>
        </m:r>
        <m:r>
          <m:t>e</m:t>
        </m:r>
        <m:r>
          <m:t>e</m:t>
        </m:r>
        <m:r>
          <m:t>d</m:t>
        </m:r>
        <m:r>
          <m:t>t</m:t>
        </m:r>
        <m:r>
          <m:t>o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11.53 billion of revenue in each of Q3 and Q4**. At the consensus Q2 EPS estimate, it would similarly need to average about</w:t>
      </w:r>
      <w:r>
        <w:t xml:space="preserve"> </w:t>
      </w:r>
      <w:r>
        <w:rPr>
          <w:b/>
          <w:bCs/>
        </w:rPr>
        <w:t xml:space="preserve">$7.34 of EPS in each second-half quarter</w:t>
      </w:r>
      <w:r>
        <w:t xml:space="preserve"> </w:t>
      </w:r>
      <w:r>
        <w:t xml:space="preserve">to reach the guidance midpoint.</w:t>
      </w:r>
    </w:p>
    <w:p>
      <w:pPr>
        <w:pStyle w:val="BodyText"/>
      </w:pPr>
      <w:r>
        <w:t xml:space="preserve">That makes the earnings call’s discussion of second-half conversion especially important. Investors need evidence that:</w:t>
      </w:r>
    </w:p>
    <w:p>
      <w:pPr>
        <w:pStyle w:val="Compact"/>
        <w:numPr>
          <w:ilvl w:val="0"/>
          <w:numId w:val="1004"/>
        </w:numPr>
      </w:pPr>
      <w:r>
        <w:t xml:space="preserve">B-21 and Sentinel production activity is scaling as planned</w:t>
      </w:r>
    </w:p>
    <w:p>
      <w:pPr>
        <w:pStyle w:val="Compact"/>
        <w:numPr>
          <w:ilvl w:val="0"/>
          <w:numId w:val="1004"/>
        </w:numPr>
      </w:pPr>
      <w:r>
        <w:t xml:space="preserve">Space Systems has moved past its major year-over-year headwinds</w:t>
      </w:r>
    </w:p>
    <w:p>
      <w:pPr>
        <w:pStyle w:val="Compact"/>
        <w:numPr>
          <w:ilvl w:val="0"/>
          <w:numId w:val="1004"/>
        </w:numPr>
      </w:pPr>
      <w:r>
        <w:t xml:space="preserve">Mission Systems revenue is accelerating</w:t>
      </w:r>
    </w:p>
    <w:p>
      <w:pPr>
        <w:pStyle w:val="Compact"/>
        <w:numPr>
          <w:ilvl w:val="0"/>
          <w:numId w:val="1004"/>
        </w:numPr>
      </w:pPr>
      <w:r>
        <w:t xml:space="preserve">Reconciliation and budget funding is reaching contracts</w:t>
      </w:r>
    </w:p>
    <w:p>
      <w:pPr>
        <w:pStyle w:val="Compact"/>
        <w:numPr>
          <w:ilvl w:val="0"/>
          <w:numId w:val="1004"/>
        </w:numPr>
      </w:pPr>
      <w:r>
        <w:t xml:space="preserve">Suppliers can support higher output</w:t>
      </w:r>
    </w:p>
    <w:p>
      <w:pPr>
        <w:pStyle w:val="Compact"/>
        <w:numPr>
          <w:ilvl w:val="0"/>
          <w:numId w:val="1004"/>
        </w:numPr>
      </w:pPr>
      <w:r>
        <w:t xml:space="preserve">Working-capital collection remains on track</w:t>
      </w:r>
    </w:p>
    <w:p>
      <w:pPr>
        <w:pStyle w:val="FirstParagraph"/>
      </w:pPr>
      <w:r>
        <w:t xml:space="preserve">A simple guidance reiteration may be accepted, but it will be more credible if management provides concrete support for the second-half cadence.</w:t>
      </w:r>
    </w:p>
    <w:p>
      <w:r>
        <w:pict>
          <v:rect style="width:0;height:1.5pt" o:hralign="center" o:hrstd="t" o:hr="t"/>
        </w:pict>
      </w:r>
    </w:p>
    <w:bookmarkEnd w:id="11"/>
    <w:bookmarkStart w:id="20" w:name="segment-preview"/>
    <w:p>
      <w:pPr>
        <w:pStyle w:val="Heading2"/>
      </w:pPr>
      <w:r>
        <w:t xml:space="preserve">Segment preview</w:t>
      </w:r>
    </w:p>
    <w:bookmarkStart w:id="13" w:name="X823c9b932d9bfaa57437095e696f370491c1bef"/>
    <w:p>
      <w:pPr>
        <w:pStyle w:val="Heading3"/>
      </w:pPr>
      <w:r>
        <w:t xml:space="preserve">1. Aeronautics Systems: B-21 remains the key risk and opportunity</w:t>
      </w:r>
    </w:p>
    <w:p>
      <w:pPr>
        <w:pStyle w:val="FirstParagraph"/>
      </w:pPr>
      <w:r>
        <w:t xml:space="preserve">First-quarter Aeronautics revenue increased 17% to</w:t>
      </w:r>
      <w:r>
        <w:t xml:space="preserve"> </w:t>
      </w:r>
      <w:r>
        <w:rPr>
          <w:b/>
          <w:bCs/>
        </w:rPr>
        <w:t xml:space="preserve">$3.28 billion</w:t>
      </w:r>
      <w:r>
        <w:t xml:space="preserve">, driven by B-21, restricted programs and the E-130J TACAMO ramp. Its 9.3% margin benefited from the absence of the prior-year B-21 charge.</w:t>
      </w:r>
    </w:p>
    <w:p>
      <w:pPr>
        <w:pStyle w:val="BodyText"/>
      </w:pPr>
      <w:r>
        <w:t xml:space="preserve">The first quarter also included revenue from selling a company-owned B-21 test asset to the Air Force. That accelerated some revenue into Q1, so investors should not automatically extrapolate the 17% growth rate into Q2.</w:t>
      </w:r>
    </w:p>
    <w:bookmarkStart w:id="12" w:name="what-matters"/>
    <w:p>
      <w:pPr>
        <w:pStyle w:val="Heading4"/>
      </w:pPr>
      <w:r>
        <w:t xml:space="preserve">What matters</w:t>
      </w:r>
    </w:p>
    <w:p>
      <w:pPr>
        <w:pStyle w:val="Compact"/>
        <w:numPr>
          <w:ilvl w:val="0"/>
          <w:numId w:val="1005"/>
        </w:numPr>
      </w:pPr>
      <w:r>
        <w:t xml:space="preserve">Any change to the B-21 estimate at completion, or</w:t>
      </w:r>
      <w:r>
        <w:t xml:space="preserve"> </w:t>
      </w:r>
      <w:r>
        <w:rPr>
          <w:b/>
          <w:bCs/>
        </w:rPr>
        <w:t xml:space="preserve">EAC</w:t>
      </w:r>
    </w:p>
    <w:p>
      <w:pPr>
        <w:pStyle w:val="Compact"/>
        <w:numPr>
          <w:ilvl w:val="0"/>
          <w:numId w:val="1005"/>
        </w:numPr>
      </w:pPr>
      <w:r>
        <w:t xml:space="preserve">Progress toward increasing annual B-21 production capacity by 25%</w:t>
      </w:r>
    </w:p>
    <w:p>
      <w:pPr>
        <w:pStyle w:val="Compact"/>
        <w:numPr>
          <w:ilvl w:val="0"/>
          <w:numId w:val="1005"/>
        </w:numPr>
      </w:pPr>
      <w:r>
        <w:t xml:space="preserve">Confirmation that the program remains on schedule for aircraft to arrive at Ellsworth Air Force Base in 2027</w:t>
      </w:r>
    </w:p>
    <w:p>
      <w:pPr>
        <w:pStyle w:val="Compact"/>
        <w:numPr>
          <w:ilvl w:val="0"/>
          <w:numId w:val="1005"/>
        </w:numPr>
      </w:pPr>
      <w:r>
        <w:t xml:space="preserve">The timing of the approximately $2.5 billion capacity investment</w:t>
      </w:r>
    </w:p>
    <w:p>
      <w:pPr>
        <w:pStyle w:val="Compact"/>
        <w:numPr>
          <w:ilvl w:val="0"/>
          <w:numId w:val="1005"/>
        </w:numPr>
      </w:pPr>
      <w:r>
        <w:t xml:space="preserve">TACAMO’s continued development ramp</w:t>
      </w:r>
    </w:p>
    <w:p>
      <w:pPr>
        <w:pStyle w:val="Compact"/>
        <w:numPr>
          <w:ilvl w:val="0"/>
          <w:numId w:val="1005"/>
        </w:numPr>
      </w:pPr>
      <w:r>
        <w:t xml:space="preserve">F-35 radar development and production readiness</w:t>
      </w:r>
    </w:p>
    <w:p>
      <w:pPr>
        <w:pStyle w:val="Compact"/>
        <w:numPr>
          <w:ilvl w:val="0"/>
          <w:numId w:val="1005"/>
        </w:numPr>
      </w:pPr>
      <w:r>
        <w:t xml:space="preserve">Any update on the Navy’s F/A-XX competition</w:t>
      </w:r>
    </w:p>
    <w:p>
      <w:pPr>
        <w:pStyle w:val="FirstParagraph"/>
      </w:pPr>
      <w:r>
        <w:t xml:space="preserve">B-21 is approaching 10% of company revenue, and management expects it eventually to exceed 10%. It is therefore too large for even modest estimate changes to be dismissed as program-specific noise.</w:t>
      </w:r>
    </w:p>
    <w:p>
      <w:pPr>
        <w:pStyle w:val="BodyText"/>
      </w:pPr>
      <w:r>
        <w:rPr>
          <w:b/>
          <w:bCs/>
        </w:rPr>
        <w:t xml:space="preserve">Best outcome:</w:t>
      </w:r>
      <w:r>
        <w:t xml:space="preserve"> </w:t>
      </w:r>
      <w:r>
        <w:t xml:space="preserve">Continued revenue growth, margins near or above the low-to-mid-9% full-year target and no EAC change.</w:t>
      </w:r>
    </w:p>
    <w:p>
      <w:pPr>
        <w:pStyle w:val="BodyText"/>
      </w:pPr>
      <w:r>
        <w:rPr>
          <w:b/>
          <w:bCs/>
        </w:rPr>
        <w:t xml:space="preserve">Primary risk:</w:t>
      </w:r>
      <w:r>
        <w:t xml:space="preserve"> </w:t>
      </w:r>
      <w:r>
        <w:t xml:space="preserve">Another B-21 charge or language suggesting higher early-lot production costs.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5" w:name="X59e5df4294b2878be49439318d268603f38fa9b"/>
    <w:p>
      <w:pPr>
        <w:pStyle w:val="Heading3"/>
      </w:pPr>
      <w:r>
        <w:t xml:space="preserve">2. Defense Systems: likely the strongest structural growth story</w:t>
      </w:r>
    </w:p>
    <w:p>
      <w:pPr>
        <w:pStyle w:val="FirstParagraph"/>
      </w:pPr>
      <w:r>
        <w:t xml:space="preserve">Defense Systems posted 10% organic growth in Q1, driven by:</w:t>
      </w:r>
    </w:p>
    <w:p>
      <w:pPr>
        <w:pStyle w:val="Compact"/>
        <w:numPr>
          <w:ilvl w:val="0"/>
          <w:numId w:val="1006"/>
        </w:numPr>
      </w:pPr>
      <w:r>
        <w:t xml:space="preserve">Sentinel</w:t>
      </w:r>
    </w:p>
    <w:p>
      <w:pPr>
        <w:pStyle w:val="Compact"/>
        <w:numPr>
          <w:ilvl w:val="0"/>
          <w:numId w:val="1006"/>
        </w:numPr>
      </w:pPr>
      <w:r>
        <w:t xml:space="preserve">Tactical solid rocket motors</w:t>
      </w:r>
    </w:p>
    <w:p>
      <w:pPr>
        <w:pStyle w:val="Compact"/>
        <w:numPr>
          <w:ilvl w:val="0"/>
          <w:numId w:val="1006"/>
        </w:numPr>
      </w:pPr>
      <w:r>
        <w:t xml:space="preserve">Integrated Battle Command System, or IBCS</w:t>
      </w:r>
    </w:p>
    <w:p>
      <w:pPr>
        <w:pStyle w:val="Compact"/>
        <w:numPr>
          <w:ilvl w:val="0"/>
          <w:numId w:val="1006"/>
        </w:numPr>
      </w:pPr>
      <w:r>
        <w:t xml:space="preserve">Munitions and tactical missiles</w:t>
      </w:r>
    </w:p>
    <w:p>
      <w:pPr>
        <w:pStyle w:val="FirstParagraph"/>
      </w:pPr>
      <w:r>
        <w:t xml:space="preserve">Management subsequently said its weapons business could continue growing in the teens—and potentially into the 20% range—while the overall Defense Systems segment should sustain double-digit growth.</w:t>
      </w:r>
    </w:p>
    <w:p>
      <w:pPr>
        <w:pStyle w:val="BodyText"/>
      </w:pPr>
      <w:r>
        <w:t xml:space="preserve">Sentinel accounts for approximately 6%–7% of company revenue and is expected to grow at a low-double-digit rate this year. The program is moving toward:</w:t>
      </w:r>
    </w:p>
    <w:p>
      <w:pPr>
        <w:pStyle w:val="Compact"/>
        <w:numPr>
          <w:ilvl w:val="0"/>
          <w:numId w:val="1007"/>
        </w:numPr>
      </w:pPr>
      <w:r>
        <w:t xml:space="preserve">Milestone B later in 2026</w:t>
      </w:r>
    </w:p>
    <w:p>
      <w:pPr>
        <w:pStyle w:val="Compact"/>
        <w:numPr>
          <w:ilvl w:val="0"/>
          <w:numId w:val="1007"/>
        </w:numPr>
      </w:pPr>
      <w:r>
        <w:t xml:space="preserve">First flight in 2027</w:t>
      </w:r>
    </w:p>
    <w:p>
      <w:pPr>
        <w:pStyle w:val="Compact"/>
        <w:numPr>
          <w:ilvl w:val="0"/>
          <w:numId w:val="1007"/>
        </w:numPr>
      </w:pPr>
      <w:r>
        <w:t xml:space="preserve">Initial operating capability in the early 2030s</w:t>
      </w:r>
    </w:p>
    <w:bookmarkStart w:id="14" w:name="what-matters-1"/>
    <w:p>
      <w:pPr>
        <w:pStyle w:val="Heading4"/>
      </w:pPr>
      <w:r>
        <w:t xml:space="preserve">What matters</w:t>
      </w:r>
    </w:p>
    <w:p>
      <w:pPr>
        <w:pStyle w:val="Compact"/>
        <w:numPr>
          <w:ilvl w:val="0"/>
          <w:numId w:val="1008"/>
        </w:numPr>
      </w:pPr>
      <w:r>
        <w:t xml:space="preserve">Whether Sentinel remains on its revised schedule and cost baseline</w:t>
      </w:r>
    </w:p>
    <w:p>
      <w:pPr>
        <w:pStyle w:val="Compact"/>
        <w:numPr>
          <w:ilvl w:val="0"/>
          <w:numId w:val="1008"/>
        </w:numPr>
      </w:pPr>
      <w:r>
        <w:t xml:space="preserve">Progress qualifying Northrop as a second-source solid-rocket-motor supplier</w:t>
      </w:r>
    </w:p>
    <w:p>
      <w:pPr>
        <w:pStyle w:val="Compact"/>
        <w:numPr>
          <w:ilvl w:val="0"/>
          <w:numId w:val="1008"/>
        </w:numPr>
      </w:pPr>
      <w:r>
        <w:t xml:space="preserve">PAC-3 and other missile-production opportunities</w:t>
      </w:r>
    </w:p>
    <w:p>
      <w:pPr>
        <w:pStyle w:val="Compact"/>
        <w:numPr>
          <w:ilvl w:val="0"/>
          <w:numId w:val="1008"/>
        </w:numPr>
      </w:pPr>
      <w:r>
        <w:t xml:space="preserve">IBCS international orders</w:t>
      </w:r>
    </w:p>
    <w:p>
      <w:pPr>
        <w:pStyle w:val="Compact"/>
        <w:numPr>
          <w:ilvl w:val="0"/>
          <w:numId w:val="1008"/>
        </w:numPr>
      </w:pPr>
      <w:r>
        <w:t xml:space="preserve">Conversion of elevated munitions demand into funded contracts</w:t>
      </w:r>
    </w:p>
    <w:p>
      <w:pPr>
        <w:pStyle w:val="Compact"/>
        <w:numPr>
          <w:ilvl w:val="0"/>
          <w:numId w:val="1008"/>
        </w:numPr>
      </w:pPr>
      <w:r>
        <w:t xml:space="preserve">Segment margin performance around the company’s approximately 10% target</w:t>
      </w:r>
    </w:p>
    <w:p>
      <w:pPr>
        <w:pStyle w:val="FirstParagraph"/>
      </w:pPr>
      <w:r>
        <w:t xml:space="preserve">The year-over-year margin comparison is difficult: Q2 2025 Defense Systems margins were 12.7%, including a</w:t>
      </w:r>
      <w:r>
        <w:t xml:space="preserve"> </w:t>
      </w:r>
      <w:r>
        <w:rPr>
          <w:b/>
          <w:bCs/>
        </w:rPr>
        <w:t xml:space="preserve">$76 million favorable Sentinel EAC adjustment</w:t>
      </w:r>
      <w:r>
        <w:t xml:space="preserve">. Investors should not interpret a return toward 10% as deterioration unless the underlying program commentary also weakens.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7" w:name="Xd5420cd181e52cf73172df73c8c9e9e416f205c"/>
    <w:p>
      <w:pPr>
        <w:pStyle w:val="Heading3"/>
      </w:pPr>
      <w:r>
        <w:t xml:space="preserve">3. Mission Systems: margin quality is more important than a headline beat</w:t>
      </w:r>
    </w:p>
    <w:p>
      <w:pPr>
        <w:pStyle w:val="FirstParagraph"/>
      </w:pPr>
      <w:r>
        <w:t xml:space="preserve">Mission Systems delivered an unusually strong</w:t>
      </w:r>
      <w:r>
        <w:t xml:space="preserve"> </w:t>
      </w:r>
      <w:r>
        <w:rPr>
          <w:b/>
          <w:bCs/>
        </w:rPr>
        <w:t xml:space="preserve">15.1% margin</w:t>
      </w:r>
      <w:r>
        <w:t xml:space="preserve"> </w:t>
      </w:r>
      <w:r>
        <w:t xml:space="preserve">in Q1, aided by favorable EAC adjustments. Management believes the business can sustain approximately 15% margins over time as its mix moves toward higher-margin production.</w:t>
      </w:r>
    </w:p>
    <w:p>
      <w:pPr>
        <w:pStyle w:val="BodyText"/>
      </w:pPr>
      <w:r>
        <w:t xml:space="preserve">The full-year outlook calls for revenue in the high-$12 billion range and margins in the high-14% range. Because Q1 revenue was only $2.86 billion, the segment needs a meaningful acceleration over the balance of the year.</w:t>
      </w:r>
    </w:p>
    <w:bookmarkStart w:id="16" w:name="what-matters-2"/>
    <w:p>
      <w:pPr>
        <w:pStyle w:val="Heading4"/>
      </w:pPr>
      <w:r>
        <w:t xml:space="preserve">What matters</w:t>
      </w:r>
    </w:p>
    <w:p>
      <w:pPr>
        <w:pStyle w:val="Compact"/>
        <w:numPr>
          <w:ilvl w:val="0"/>
          <w:numId w:val="1009"/>
        </w:numPr>
      </w:pPr>
      <w:r>
        <w:t xml:space="preserve">Restricted airborne-radar growth</w:t>
      </w:r>
    </w:p>
    <w:p>
      <w:pPr>
        <w:pStyle w:val="Compact"/>
        <w:numPr>
          <w:ilvl w:val="0"/>
          <w:numId w:val="1009"/>
        </w:numPr>
      </w:pPr>
      <w:r>
        <w:t xml:space="preserve">Marine systems demand</w:t>
      </w:r>
    </w:p>
    <w:p>
      <w:pPr>
        <w:pStyle w:val="Compact"/>
        <w:numPr>
          <w:ilvl w:val="0"/>
          <w:numId w:val="1009"/>
        </w:numPr>
      </w:pPr>
      <w:r>
        <w:t xml:space="preserve">F-35 radar and Block 4 activity</w:t>
      </w:r>
    </w:p>
    <w:p>
      <w:pPr>
        <w:pStyle w:val="Compact"/>
        <w:numPr>
          <w:ilvl w:val="0"/>
          <w:numId w:val="1009"/>
        </w:numPr>
      </w:pPr>
      <w:r>
        <w:t xml:space="preserve">Electronic-warfare volumes</w:t>
      </w:r>
    </w:p>
    <w:p>
      <w:pPr>
        <w:pStyle w:val="Compact"/>
        <w:numPr>
          <w:ilvl w:val="0"/>
          <w:numId w:val="1009"/>
        </w:numPr>
      </w:pPr>
      <w:r>
        <w:t xml:space="preserve">Whether margins remain near 15% without relying heavily on favorable EACs</w:t>
      </w:r>
    </w:p>
    <w:p>
      <w:pPr>
        <w:pStyle w:val="FirstParagraph"/>
      </w:pPr>
      <w:r>
        <w:t xml:space="preserve">A quarter featuring 15% margins but soft bookings or revenue would be less encouraging than it initially appears. Investors should distinguish operational improvement from accounting estimate changes.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9" w:name="X7dc4338e867aa0ec096400cd14aa745557f3810"/>
    <w:p>
      <w:pPr>
        <w:pStyle w:val="Heading3"/>
      </w:pPr>
      <w:r>
        <w:t xml:space="preserve">4. Space Systems: the most important segment for the revenue ramp</w:t>
      </w:r>
    </w:p>
    <w:p>
      <w:pPr>
        <w:pStyle w:val="FirstParagraph"/>
      </w:pPr>
      <w:r>
        <w:t xml:space="preserve">Space was the weakest business in Q1:</w:t>
      </w:r>
    </w:p>
    <w:p>
      <w:pPr>
        <w:pStyle w:val="Compact"/>
        <w:numPr>
          <w:ilvl w:val="0"/>
          <w:numId w:val="1010"/>
        </w:numPr>
      </w:pPr>
      <w:r>
        <w:t xml:space="preserve">Revenue declined 3% to</w:t>
      </w:r>
      <w:r>
        <w:t xml:space="preserve"> </w:t>
      </w:r>
      <w:r>
        <w:rPr>
          <w:b/>
          <w:bCs/>
        </w:rPr>
        <w:t xml:space="preserve">$2.48 billion</w:t>
      </w:r>
    </w:p>
    <w:p>
      <w:pPr>
        <w:pStyle w:val="Compact"/>
        <w:numPr>
          <w:ilvl w:val="0"/>
          <w:numId w:val="1010"/>
        </w:numPr>
      </w:pPr>
      <w:r>
        <w:t xml:space="preserve">Operating income declined 17%</w:t>
      </w:r>
    </w:p>
    <w:p>
      <w:pPr>
        <w:pStyle w:val="Compact"/>
        <w:numPr>
          <w:ilvl w:val="0"/>
          <w:numId w:val="1010"/>
        </w:numPr>
      </w:pPr>
      <w:r>
        <w:t xml:space="preserve">Margin fell to 9.5%</w:t>
      </w:r>
    </w:p>
    <w:p>
      <w:pPr>
        <w:pStyle w:val="Compact"/>
        <w:numPr>
          <w:ilvl w:val="0"/>
          <w:numId w:val="1010"/>
        </w:numPr>
      </w:pPr>
      <w:r>
        <w:t xml:space="preserve">Results included a</w:t>
      </w:r>
      <w:r>
        <w:t xml:space="preserve"> </w:t>
      </w:r>
      <w:r>
        <w:rPr>
          <w:b/>
          <w:bCs/>
        </w:rPr>
        <w:t xml:space="preserve">$71 million unfavorable GEM 63XL adjustment</w:t>
      </w:r>
    </w:p>
    <w:p>
      <w:pPr>
        <w:pStyle w:val="Compact"/>
        <w:numPr>
          <w:ilvl w:val="0"/>
          <w:numId w:val="1010"/>
        </w:numPr>
      </w:pPr>
      <w:r>
        <w:t xml:space="preserve">The wind-down of Next Generation Interceptor reduced revenue by $98 million</w:t>
      </w:r>
    </w:p>
    <w:p>
      <w:pPr>
        <w:pStyle w:val="FirstParagraph"/>
      </w:pPr>
      <w:r>
        <w:t xml:space="preserve">Management has argued that the major NGI and restricted-program comparisons were effectively behind the company after Q1. It expects Space growth to accelerate, supported by:</w:t>
      </w:r>
    </w:p>
    <w:p>
      <w:pPr>
        <w:pStyle w:val="Compact"/>
        <w:numPr>
          <w:ilvl w:val="0"/>
          <w:numId w:val="1011"/>
        </w:numPr>
      </w:pPr>
      <w:r>
        <w:t xml:space="preserve">Space Development Agency satellites</w:t>
      </w:r>
    </w:p>
    <w:p>
      <w:pPr>
        <w:pStyle w:val="Compact"/>
        <w:numPr>
          <w:ilvl w:val="0"/>
          <w:numId w:val="1011"/>
        </w:numPr>
      </w:pPr>
      <w:r>
        <w:t xml:space="preserve">Restricted space programs</w:t>
      </w:r>
    </w:p>
    <w:p>
      <w:pPr>
        <w:pStyle w:val="Compact"/>
        <w:numPr>
          <w:ilvl w:val="0"/>
          <w:numId w:val="1011"/>
        </w:numPr>
      </w:pPr>
      <w:r>
        <w:t xml:space="preserve">Missile-warning and missile-tracking systems</w:t>
      </w:r>
    </w:p>
    <w:p>
      <w:pPr>
        <w:pStyle w:val="Compact"/>
        <w:numPr>
          <w:ilvl w:val="0"/>
          <w:numId w:val="1011"/>
        </w:numPr>
      </w:pPr>
      <w:r>
        <w:t xml:space="preserve">Golden Dome-related opportunities</w:t>
      </w:r>
    </w:p>
    <w:p>
      <w:pPr>
        <w:pStyle w:val="Compact"/>
        <w:numPr>
          <w:ilvl w:val="0"/>
          <w:numId w:val="1011"/>
        </w:numPr>
      </w:pPr>
      <w:r>
        <w:t xml:space="preserve">Space-based interceptor development</w:t>
      </w:r>
    </w:p>
    <w:p>
      <w:pPr>
        <w:pStyle w:val="FirstParagraph"/>
      </w:pPr>
      <w:r>
        <w:t xml:space="preserve">The annual guide of roughly</w:t>
      </w:r>
      <w:r>
        <w:t xml:space="preserve"> </w:t>
      </w:r>
      <w:r>
        <w:rPr>
          <w:b/>
          <w:bCs/>
        </w:rPr>
        <w:t xml:space="preserve">$11 billion</w:t>
      </w:r>
      <w:r>
        <w:t xml:space="preserve"> </w:t>
      </w:r>
      <w:r>
        <w:t xml:space="preserve">implies a sharp acceleration from the first quarter’s run rate. This makes Space perhaps the most important segment to watch relative to consolidated guidance.</w:t>
      </w:r>
    </w:p>
    <w:bookmarkStart w:id="18" w:name="what-matters-3"/>
    <w:p>
      <w:pPr>
        <w:pStyle w:val="Heading4"/>
      </w:pPr>
      <w:r>
        <w:t xml:space="preserve">What matters</w:t>
      </w:r>
    </w:p>
    <w:p>
      <w:pPr>
        <w:pStyle w:val="Compact"/>
        <w:numPr>
          <w:ilvl w:val="0"/>
          <w:numId w:val="1012"/>
        </w:numPr>
      </w:pPr>
      <w:r>
        <w:t xml:space="preserve">No additional GEM 63XL charge</w:t>
      </w:r>
    </w:p>
    <w:p>
      <w:pPr>
        <w:pStyle w:val="Compact"/>
        <w:numPr>
          <w:ilvl w:val="0"/>
          <w:numId w:val="1012"/>
        </w:numPr>
      </w:pPr>
      <w:r>
        <w:t xml:space="preserve">Evidence that SDA and restricted-space activity is ramping</w:t>
      </w:r>
    </w:p>
    <w:p>
      <w:pPr>
        <w:pStyle w:val="Compact"/>
        <w:numPr>
          <w:ilvl w:val="0"/>
          <w:numId w:val="1012"/>
        </w:numPr>
      </w:pPr>
      <w:r>
        <w:t xml:space="preserve">Sequential revenue improvement</w:t>
      </w:r>
    </w:p>
    <w:p>
      <w:pPr>
        <w:pStyle w:val="Compact"/>
        <w:numPr>
          <w:ilvl w:val="0"/>
          <w:numId w:val="1012"/>
        </w:numPr>
      </w:pPr>
      <w:r>
        <w:t xml:space="preserve">Recovery toward the approximately 11% full-year margin target</w:t>
      </w:r>
    </w:p>
    <w:p>
      <w:pPr>
        <w:pStyle w:val="Compact"/>
        <w:numPr>
          <w:ilvl w:val="0"/>
          <w:numId w:val="1012"/>
        </w:numPr>
      </w:pPr>
      <w:r>
        <w:t xml:space="preserve">Timing and economics of Golden Dome opportunities</w:t>
      </w:r>
    </w:p>
    <w:p>
      <w:pPr>
        <w:pStyle w:val="FirstParagraph"/>
      </w:pPr>
      <w:r>
        <w:t xml:space="preserve">A clean Space quarter could materially improve confidence in the full-year outlook. Continued revenue around the first-quarter level would make the annual guide increasingly difficult to achieve.</w:t>
      </w:r>
    </w:p>
    <w:p>
      <w:r>
        <w:pict>
          <v:rect style="width:0;height:1.5pt" o:hralign="center" o:hrstd="t" o:hr="t"/>
        </w:pict>
      </w:r>
    </w:p>
    <w:bookmarkEnd w:id="18"/>
    <w:bookmarkEnd w:id="19"/>
    <w:bookmarkEnd w:id="20"/>
    <w:bookmarkStart w:id="21" w:name="backlog-and-orders"/>
    <w:p>
      <w:pPr>
        <w:pStyle w:val="Heading2"/>
      </w:pPr>
      <w:r>
        <w:t xml:space="preserve">Backlog and orders</w:t>
      </w:r>
    </w:p>
    <w:p>
      <w:pPr>
        <w:pStyle w:val="FirstParagraph"/>
      </w:pPr>
      <w:r>
        <w:t xml:space="preserve">Northrop ended Q1 with: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$9.8 billion of quarterly awards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$95.6 billion of backlog</w:t>
      </w:r>
    </w:p>
    <w:p>
      <w:pPr>
        <w:pStyle w:val="Compact"/>
        <w:numPr>
          <w:ilvl w:val="0"/>
          <w:numId w:val="1013"/>
        </w:numPr>
      </w:pPr>
      <w:r>
        <w:t xml:space="preserve">Backlog equal to more than two years of annual sales</w:t>
      </w:r>
    </w:p>
    <w:p>
      <w:pPr>
        <w:pStyle w:val="FirstParagraph"/>
      </w:pPr>
      <w:r>
        <w:t xml:space="preserve">The aggregate backlog is strong, but its composition matters. Q1 backlog was approximately flat with year-end because Mission and Space declines offset growth in Aeronautics.</w:t>
      </w:r>
    </w:p>
    <w:p>
      <w:pPr>
        <w:pStyle w:val="BodyText"/>
      </w:pPr>
      <w:r>
        <w:t xml:space="preserve">Investors should watch:</w:t>
      </w:r>
    </w:p>
    <w:p>
      <w:pPr>
        <w:pStyle w:val="Compact"/>
        <w:numPr>
          <w:ilvl w:val="0"/>
          <w:numId w:val="1014"/>
        </w:numPr>
      </w:pPr>
      <w:r>
        <w:t xml:space="preserve">Book-to-bill relative to 1.0</w:t>
      </w:r>
    </w:p>
    <w:p>
      <w:pPr>
        <w:pStyle w:val="Compact"/>
        <w:numPr>
          <w:ilvl w:val="0"/>
          <w:numId w:val="1014"/>
        </w:numPr>
      </w:pPr>
      <w:r>
        <w:t xml:space="preserve">Funded versus unfunded backlog</w:t>
      </w:r>
    </w:p>
    <w:p>
      <w:pPr>
        <w:pStyle w:val="Compact"/>
        <w:numPr>
          <w:ilvl w:val="0"/>
          <w:numId w:val="1014"/>
        </w:numPr>
      </w:pPr>
      <w:r>
        <w:t xml:space="preserve">Restricted awards</w:t>
      </w:r>
    </w:p>
    <w:p>
      <w:pPr>
        <w:pStyle w:val="Compact"/>
        <w:numPr>
          <w:ilvl w:val="0"/>
          <w:numId w:val="1014"/>
        </w:numPr>
      </w:pPr>
      <w:r>
        <w:t xml:space="preserve">B-21, Sentinel and F-35 orders</w:t>
      </w:r>
    </w:p>
    <w:p>
      <w:pPr>
        <w:pStyle w:val="Compact"/>
        <w:numPr>
          <w:ilvl w:val="0"/>
          <w:numId w:val="1014"/>
        </w:numPr>
      </w:pPr>
      <w:r>
        <w:t xml:space="preserve">Munitions and solid-rocket-motor awards</w:t>
      </w:r>
    </w:p>
    <w:p>
      <w:pPr>
        <w:pStyle w:val="Compact"/>
        <w:numPr>
          <w:ilvl w:val="0"/>
          <w:numId w:val="1014"/>
        </w:numPr>
      </w:pPr>
      <w:r>
        <w:t xml:space="preserve">International missile-defense demand</w:t>
      </w:r>
    </w:p>
    <w:p>
      <w:pPr>
        <w:pStyle w:val="FirstParagraph"/>
      </w:pPr>
      <w:r>
        <w:t xml:space="preserve">A strong order quarter would support management’s case for accelerating growth in 2027. A weak quarter would not necessarily undermine long-term demand, but it would reinforce concerns about the timing of contract conversion.</w:t>
      </w:r>
    </w:p>
    <w:p>
      <w:r>
        <w:pict>
          <v:rect style="width:0;height:1.5pt" o:hralign="center" o:hrstd="t" o:hr="t"/>
        </w:pict>
      </w:r>
    </w:p>
    <w:bookmarkEnd w:id="21"/>
    <w:bookmarkStart w:id="22" w:name="X4abb2fcf3b00f7619bbe61264707941dce9c8e6"/>
    <w:p>
      <w:pPr>
        <w:pStyle w:val="Heading2"/>
      </w:pPr>
      <w:r>
        <w:t xml:space="preserve">Free cash flow is likely to drive the medium-term debate</w:t>
      </w:r>
    </w:p>
    <w:p>
      <w:pPr>
        <w:pStyle w:val="FirstParagraph"/>
      </w:pPr>
      <w:r>
        <w:t xml:space="preserve">First-quarter free cash flow was a use of</w:t>
      </w:r>
      <w:r>
        <w:t xml:space="preserve"> </w:t>
      </w:r>
      <w:r>
        <w:rPr>
          <w:b/>
          <w:bCs/>
        </w:rPr>
        <w:t xml:space="preserve">$1.82 billion</w:t>
      </w:r>
      <w:r>
        <w:t xml:space="preserve">, consistent with Northrop’s normal seasonality. Management expects the overwhelming majority of annual cash generation in the second half, particularly Q4.</w:t>
      </w:r>
    </w:p>
    <w:p>
      <w:pPr>
        <w:pStyle w:val="BodyText"/>
      </w:pPr>
      <w:r>
        <w:t xml:space="preserve">Northrop maintained its</w:t>
      </w:r>
      <w:r>
        <w:t xml:space="preserve"> </w:t>
      </w:r>
      <m:oMath>
        <m:r>
          <m:t>3.1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3.5 billion free-cash-flow forecast despite raising 2026 capital spending to approximately</w:t>
      </w:r>
      <w:r>
        <w:t xml:space="preserve"> </w:t>
      </w:r>
      <w:r>
        <w:rPr>
          <w:b/>
          <w:bCs/>
        </w:rPr>
        <w:t xml:space="preserve">$1.85 billion</w:t>
      </w:r>
      <w:r>
        <w:t xml:space="preserve">. That is encouraging, but it means the company needs roughly</w:t>
      </w:r>
      <w:r>
        <w:t xml:space="preserve"> </w:t>
      </w:r>
      <m:oMath>
        <m:r>
          <m:t>4.9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5.3 billion of positive free cash flow over the final three quarters.</w:t>
      </w:r>
    </w:p>
    <w:p>
      <w:pPr>
        <w:pStyle w:val="BodyText"/>
      </w:pPr>
      <w:r>
        <w:t xml:space="preserve">The Q2 cash number itself may be less important than management’s confidence in:</w:t>
      </w:r>
    </w:p>
    <w:p>
      <w:pPr>
        <w:pStyle w:val="Compact"/>
        <w:numPr>
          <w:ilvl w:val="0"/>
          <w:numId w:val="1015"/>
        </w:numPr>
      </w:pPr>
      <w:r>
        <w:t xml:space="preserve">Customer collections</w:t>
      </w:r>
    </w:p>
    <w:p>
      <w:pPr>
        <w:pStyle w:val="Compact"/>
        <w:numPr>
          <w:ilvl w:val="0"/>
          <w:numId w:val="1015"/>
        </w:numPr>
      </w:pPr>
      <w:r>
        <w:t xml:space="preserve">B-21 customer funding and working-capital support</w:t>
      </w:r>
    </w:p>
    <w:p>
      <w:pPr>
        <w:pStyle w:val="Compact"/>
        <w:numPr>
          <w:ilvl w:val="0"/>
          <w:numId w:val="1015"/>
        </w:numPr>
      </w:pPr>
      <w:r>
        <w:t xml:space="preserve">Supplier-payment timing</w:t>
      </w:r>
    </w:p>
    <w:p>
      <w:pPr>
        <w:pStyle w:val="Compact"/>
        <w:numPr>
          <w:ilvl w:val="0"/>
          <w:numId w:val="1015"/>
        </w:numPr>
      </w:pPr>
      <w:r>
        <w:t xml:space="preserve">Unbilled receivables</w:t>
      </w:r>
    </w:p>
    <w:p>
      <w:pPr>
        <w:pStyle w:val="Compact"/>
        <w:numPr>
          <w:ilvl w:val="0"/>
          <w:numId w:val="1015"/>
        </w:numPr>
      </w:pPr>
      <w:r>
        <w:t xml:space="preserve">The path to Q4 cash generation</w:t>
      </w:r>
    </w:p>
    <w:p>
      <w:pPr>
        <w:pStyle w:val="Compact"/>
        <w:numPr>
          <w:ilvl w:val="0"/>
          <w:numId w:val="1015"/>
        </w:numPr>
      </w:pPr>
      <w:r>
        <w:t xml:space="preserve">Capital expenditures in 2027 and 2028</w:t>
      </w:r>
    </w:p>
    <w:p>
      <w:pPr>
        <w:pStyle w:val="Compact"/>
        <w:numPr>
          <w:ilvl w:val="0"/>
          <w:numId w:val="1015"/>
        </w:numPr>
      </w:pPr>
      <w:r>
        <w:t xml:space="preserve">Continued dividends and buybacks during the investment cycle</w:t>
      </w:r>
    </w:p>
    <w:p>
      <w:pPr>
        <w:pStyle w:val="FirstParagraph"/>
      </w:pPr>
      <w:r>
        <w:t xml:space="preserve">A reaffirmed 2026 cash guide would be constructive. Any reduction attributed to working capital or higher capital spending would likely receive an outsized negative reaction.</w:t>
      </w:r>
    </w:p>
    <w:p>
      <w:r>
        <w:pict>
          <v:rect style="width:0;height:1.5pt" o:hralign="center" o:hrstd="t" o:hr="t"/>
        </w:pict>
      </w:r>
    </w:p>
    <w:bookmarkEnd w:id="22"/>
    <w:bookmarkStart w:id="26" w:name="Xa3ba6cdc954596878b20e15227ffd4fcf2d9307"/>
    <w:p>
      <w:pPr>
        <w:pStyle w:val="Heading2"/>
      </w:pPr>
      <w:r>
        <w:t xml:space="preserve">Guidance: what would count as a good result?</w:t>
      </w:r>
    </w:p>
    <w:bookmarkStart w:id="23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16"/>
        </w:numPr>
      </w:pPr>
      <w:r>
        <w:t xml:space="preserve">Revenue at or above $10.8 billion</w:t>
      </w:r>
    </w:p>
    <w:p>
      <w:pPr>
        <w:pStyle w:val="Compact"/>
        <w:numPr>
          <w:ilvl w:val="0"/>
          <w:numId w:val="1016"/>
        </w:numPr>
      </w:pPr>
      <w:r>
        <w:t xml:space="preserve">EPS above consensus with solid segment margins</w:t>
      </w:r>
    </w:p>
    <w:p>
      <w:pPr>
        <w:pStyle w:val="Compact"/>
        <w:numPr>
          <w:ilvl w:val="0"/>
          <w:numId w:val="1016"/>
        </w:numPr>
      </w:pPr>
      <w:r>
        <w:t xml:space="preserve">No material unfavorable EACs</w:t>
      </w:r>
    </w:p>
    <w:p>
      <w:pPr>
        <w:pStyle w:val="Compact"/>
        <w:numPr>
          <w:ilvl w:val="0"/>
          <w:numId w:val="1016"/>
        </w:numPr>
      </w:pPr>
      <w:r>
        <w:t xml:space="preserve">Space revenue and margins recover sequentially</w:t>
      </w:r>
    </w:p>
    <w:p>
      <w:pPr>
        <w:pStyle w:val="Compact"/>
        <w:numPr>
          <w:ilvl w:val="0"/>
          <w:numId w:val="1016"/>
        </w:numPr>
      </w:pPr>
      <w:r>
        <w:t xml:space="preserve">Full-year revenue, EPS and free-cash-flow guidance reaffirmed or raised</w:t>
      </w:r>
    </w:p>
    <w:p>
      <w:pPr>
        <w:pStyle w:val="Compact"/>
        <w:numPr>
          <w:ilvl w:val="0"/>
          <w:numId w:val="1016"/>
        </w:numPr>
      </w:pPr>
      <w:r>
        <w:t xml:space="preserve">Management provides convincing detail supporting the H2 ramp</w:t>
      </w:r>
    </w:p>
    <w:p>
      <w:pPr>
        <w:pStyle w:val="Compact"/>
        <w:numPr>
          <w:ilvl w:val="0"/>
          <w:numId w:val="1016"/>
        </w:numPr>
      </w:pPr>
      <w:r>
        <w:t xml:space="preserve">Strong orders, particularly in weapons, missile defense and restricted programs</w:t>
      </w:r>
    </w:p>
    <w:p>
      <w:pPr>
        <w:pStyle w:val="Compact"/>
        <w:numPr>
          <w:ilvl w:val="0"/>
          <w:numId w:val="1016"/>
        </w:numPr>
      </w:pPr>
      <w:r>
        <w:t xml:space="preserve">B-21 and Sentinel remain on schedule</w:t>
      </w:r>
    </w:p>
    <w:bookmarkEnd w:id="23"/>
    <w:bookmarkStart w:id="24" w:name="neutral-outcome"/>
    <w:p>
      <w:pPr>
        <w:pStyle w:val="Heading3"/>
      </w:pPr>
      <w:r>
        <w:t xml:space="preserve">Neutral outcome</w:t>
      </w:r>
    </w:p>
    <w:p>
      <w:pPr>
        <w:pStyle w:val="Compact"/>
        <w:numPr>
          <w:ilvl w:val="0"/>
          <w:numId w:val="1017"/>
        </w:numPr>
      </w:pPr>
      <w:r>
        <w:t xml:space="preserve">Results close to consensus</w:t>
      </w:r>
    </w:p>
    <w:p>
      <w:pPr>
        <w:pStyle w:val="Compact"/>
        <w:numPr>
          <w:ilvl w:val="0"/>
          <w:numId w:val="1017"/>
        </w:numPr>
      </w:pPr>
      <w:r>
        <w:t xml:space="preserve">Guidance reaffirmed</w:t>
      </w:r>
    </w:p>
    <w:p>
      <w:pPr>
        <w:pStyle w:val="Compact"/>
        <w:numPr>
          <w:ilvl w:val="0"/>
          <w:numId w:val="1017"/>
        </w:numPr>
      </w:pPr>
      <w:r>
        <w:t xml:space="preserve">Mixed segment performance, but no new charges</w:t>
      </w:r>
    </w:p>
    <w:p>
      <w:pPr>
        <w:pStyle w:val="Compact"/>
        <w:numPr>
          <w:ilvl w:val="0"/>
          <w:numId w:val="1017"/>
        </w:numPr>
      </w:pPr>
      <w:r>
        <w:t xml:space="preserve">Continued confidence in second-half revenue and cash conversion</w:t>
      </w:r>
    </w:p>
    <w:p>
      <w:pPr>
        <w:pStyle w:val="Compact"/>
        <w:numPr>
          <w:ilvl w:val="0"/>
          <w:numId w:val="1017"/>
        </w:numPr>
      </w:pPr>
      <w:r>
        <w:t xml:space="preserve">No material change in capital-spending plans</w:t>
      </w:r>
    </w:p>
    <w:p>
      <w:pPr>
        <w:pStyle w:val="FirstParagraph"/>
      </w:pPr>
      <w:r>
        <w:t xml:space="preserve">Given the stock’s decline, this could still produce a positive reaction.</w:t>
      </w:r>
    </w:p>
    <w:bookmarkEnd w:id="24"/>
    <w:bookmarkStart w:id="25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18"/>
        </w:numPr>
      </w:pPr>
      <w:r>
        <w:t xml:space="preserve">Revenue below the company’s high-single-digit sequential-growth framework</w:t>
      </w:r>
    </w:p>
    <w:p>
      <w:pPr>
        <w:pStyle w:val="Compact"/>
        <w:numPr>
          <w:ilvl w:val="0"/>
          <w:numId w:val="1018"/>
        </w:numPr>
      </w:pPr>
      <w:r>
        <w:t xml:space="preserve">Another B-21, Sentinel or GEM-related charge</w:t>
      </w:r>
    </w:p>
    <w:p>
      <w:pPr>
        <w:pStyle w:val="Compact"/>
        <w:numPr>
          <w:ilvl w:val="0"/>
          <w:numId w:val="1018"/>
        </w:numPr>
      </w:pPr>
      <w:r>
        <w:t xml:space="preserve">Weak Space Systems performance</w:t>
      </w:r>
    </w:p>
    <w:p>
      <w:pPr>
        <w:pStyle w:val="Compact"/>
        <w:numPr>
          <w:ilvl w:val="0"/>
          <w:numId w:val="1018"/>
        </w:numPr>
      </w:pPr>
      <w:r>
        <w:t xml:space="preserve">Lower free-cash-flow guidance</w:t>
      </w:r>
    </w:p>
    <w:p>
      <w:pPr>
        <w:pStyle w:val="Compact"/>
        <w:numPr>
          <w:ilvl w:val="0"/>
          <w:numId w:val="1018"/>
        </w:numPr>
      </w:pPr>
      <w:r>
        <w:t xml:space="preserve">Additional capital spending without corresponding revenue or return detail</w:t>
      </w:r>
    </w:p>
    <w:p>
      <w:pPr>
        <w:pStyle w:val="Compact"/>
        <w:numPr>
          <w:ilvl w:val="0"/>
          <w:numId w:val="1018"/>
        </w:numPr>
      </w:pPr>
      <w:r>
        <w:t xml:space="preserve">Backlog declines or funding conversion is delayed</w:t>
      </w:r>
    </w:p>
    <w:p>
      <w:pPr>
        <w:pStyle w:val="Compact"/>
        <w:numPr>
          <w:ilvl w:val="0"/>
          <w:numId w:val="1018"/>
        </w:numPr>
      </w:pPr>
      <w:r>
        <w:t xml:space="preserve">Less confidence in the required second-half ramp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questions-investors-should-want-answered"/>
    <w:p>
      <w:pPr>
        <w:pStyle w:val="Heading2"/>
      </w:pPr>
      <w:r>
        <w:t xml:space="preserve">Questions investors should want answered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What specifically supports the acceleration from roughly $10.8 billion in Q2 to more than $11.5 billion per quarter in the second half?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Did the B-21 EAC change during Q2?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Is Space Systems now past the NGI and restricted-program revenue headwinds?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Has Northrop fully quantified the GEM 63XL launch-anomaly exposure?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Is Sentinel still on schedule for Milestone B in 2026 and first flight in 2027?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How much munitions and solid-rocket-motor demand has converted into funded backlog?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Does the company still expect</w:t>
      </w:r>
      <w:r>
        <w:rPr>
          <w:b/>
          <w:bCs/>
        </w:rPr>
        <w:t xml:space="preserve"> </w:t>
      </w:r>
      <m:oMath>
        <m:r>
          <m:t>3.1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3.5 billion of 2026 free cash flow?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How much confidence does management have in keeping 2027–2028 capital expenditures near 4.5% of revenue?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Would an F/A-XX award be incremental to current guidance, and how would it affect margins and capital requirements?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How quickly can Golden Dome opportunities become material revenue rather than long-dated pipeline?</w:t>
      </w:r>
    </w:p>
    <w:p>
      <w:r>
        <w:pict>
          <v:rect style="width:0;height:1.5pt" o:hralign="center" o:hrstd="t" o:hr="t"/>
        </w:pict>
      </w:r>
    </w:p>
    <w:bookmarkEnd w:id="27"/>
    <w:bookmarkStart w:id="2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NOC enters the report with</w:t>
      </w:r>
      <w:r>
        <w:t xml:space="preserve"> </w:t>
      </w:r>
      <w:r>
        <w:rPr>
          <w:b/>
          <w:bCs/>
        </w:rPr>
        <w:t xml:space="preserve">strong demand, a large backlog and multiple long-duration growth programs</w:t>
      </w:r>
      <w:r>
        <w:t xml:space="preserve">, but also with material execution and capital-intensity concerns.</w:t>
      </w:r>
    </w:p>
    <w:p>
      <w:pPr>
        <w:pStyle w:val="BodyText"/>
      </w:pPr>
      <w:r>
        <w:t xml:space="preserve">The most important signal will not be whether EPS beats $6.83 by a few cents. It will be whether management can demonstrate that:</w:t>
      </w:r>
    </w:p>
    <w:p>
      <w:pPr>
        <w:pStyle w:val="Compact"/>
        <w:numPr>
          <w:ilvl w:val="0"/>
          <w:numId w:val="1020"/>
        </w:numPr>
      </w:pPr>
      <w:r>
        <w:t xml:space="preserve">Space Systems is recovering,</w:t>
      </w:r>
    </w:p>
    <w:p>
      <w:pPr>
        <w:pStyle w:val="Compact"/>
        <w:numPr>
          <w:ilvl w:val="0"/>
          <w:numId w:val="1020"/>
        </w:numPr>
      </w:pPr>
      <w:r>
        <w:t xml:space="preserve">B-21 and Sentinel remain financially controlled,</w:t>
      </w:r>
    </w:p>
    <w:p>
      <w:pPr>
        <w:pStyle w:val="Compact"/>
        <w:numPr>
          <w:ilvl w:val="0"/>
          <w:numId w:val="1020"/>
        </w:numPr>
      </w:pPr>
      <w:r>
        <w:t xml:space="preserve">weapons demand is turning into funded production,</w:t>
      </w:r>
    </w:p>
    <w:p>
      <w:pPr>
        <w:pStyle w:val="Compact"/>
        <w:numPr>
          <w:ilvl w:val="0"/>
          <w:numId w:val="1020"/>
        </w:numPr>
      </w:pPr>
      <w:r>
        <w:t xml:space="preserve">and the sharp second-half revenue and cash-flow ramp remains achievable.</w:t>
      </w:r>
    </w:p>
    <w:p>
      <w:pPr>
        <w:pStyle w:val="FirstParagraph"/>
      </w:pPr>
      <w:r>
        <w:t xml:space="preserve">With the shares down materially since the first-quarter report, expectations are more forgiving. A clean quarter and credible guidance reiteration could be sufficient for upside. The clearest downside catalyst would be</w:t>
      </w:r>
      <w:r>
        <w:t xml:space="preserve"> </w:t>
      </w:r>
      <w:r>
        <w:rPr>
          <w:b/>
          <w:bCs/>
        </w:rPr>
        <w:t xml:space="preserve">another program charge or weaker free-cash-flow outlook</w:t>
      </w:r>
      <w:r>
        <w:t xml:space="preserve">, particularly if accompanied by additional capital requirements.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2026-07-21T00:45:39Z</dcterms:created>
  <dcterms:modified xsi:type="dcterms:W3CDTF">2026-07-21T00:45:39Z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