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c-earnings-predictions--2026-07-21"/>
    <w:p>
      <w:pPr>
        <w:pStyle w:val="Heading1"/>
      </w:pPr>
      <w:r>
        <w:t xml:space="preserve">NOC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~$10.93B vs. cons $10.80B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~$7.01 vs. cons $6.83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~(</w:t>
            </w:r>
            <m:oMath>
              <m:r>
                <m:t>0.30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(</m:t>
              </m:r>
            </m:oMath>
            <w:r>
              <w:t xml:space="preserve">0.45B)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~$43.75B vs. cons $43.80B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MTM-adjusted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~$27.65 vs. cons $27.70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~$3.30B vs. cons $3.30B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B-21 and Space program-charge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E</m:t>
              </m:r>
              <m:r>
                <m:t>A</m:t>
              </m:r>
              <m:r>
                <m:t>C</m:t>
              </m:r>
              <m:r>
                <m:t>c</m:t>
              </m:r>
              <m:r>
                <m:t>h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modest revenue/EPS beat and clean program execution should produce an initially positive reaction, but unchanged FY2026 sales, EPS, and FCF guideposts imply limited upward out-period estimate revision; the day-1 move should partially fade as investors refocus on B-21 investment, back-end-loaded cash conversion, and unchanged full-year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2026-07-21T00:44:34Z</dcterms:created>
  <dcterms:modified xsi:type="dcterms:W3CDTF">2026-07-21T00:44:34Z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