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14368d8b8de965fbb1a26ec348398dc034d0a2"/>
    <w:p>
      <w:pPr>
        <w:pStyle w:val="Heading1"/>
      </w:pPr>
      <w:r>
        <w:t xml:space="preserve">Northrop Grumman (NYSE: NOC) — 2Q26 Earnings Preview</w:t>
      </w:r>
    </w:p>
    <w:p>
      <w:pPr>
        <w:pStyle w:val="BlockText"/>
      </w:pPr>
      <w:r>
        <w:rPr>
          <w:b/>
          <w:bCs/>
        </w:rPr>
        <w:t xml:space="preserve">Timing correction:</w:t>
      </w:r>
      <w:r>
        <w:t xml:space="preserve"> </w:t>
      </w:r>
      <w:r>
        <w:t xml:space="preserve">Northrop Grumman is scheduled to release 2Q26 results</w:t>
      </w:r>
      <w:r>
        <w:t xml:space="preserve"> </w:t>
      </w:r>
      <w:r>
        <w:rPr>
          <w:b/>
          <w:bCs/>
        </w:rPr>
        <w:t xml:space="preserve">today, Tuesday, July 21, 2026, before the U.S. market opens</w:t>
      </w:r>
      <w:r>
        <w:t xml:space="preserve">, followed by a</w:t>
      </w:r>
      <w:r>
        <w:t xml:space="preserve"> </w:t>
      </w:r>
      <w:r>
        <w:rPr>
          <w:b/>
          <w:bCs/>
        </w:rPr>
        <w:t xml:space="preserve">9:30 a.m. ET</w:t>
      </w:r>
      <w:r>
        <w:t xml:space="preserve"> </w:t>
      </w:r>
      <w:r>
        <w:t xml:space="preserve">earnings call—not tomorrow. This preview reflects the pre-release setup and information available through the July 20 close.</w:t>
      </w:r>
    </w:p>
    <w:bookmarkStart w:id="9" w:name="X03ee3538f7db6b906e38aec4e37ac2a1314a2f0"/>
    <w:p>
      <w:pPr>
        <w:pStyle w:val="Heading2"/>
      </w:pPr>
      <w:r>
        <w:t xml:space="preserve">Investment view: the quarter is about validating an acceleration, not merely beating EPS</w:t>
      </w:r>
    </w:p>
    <w:p>
      <w:pPr>
        <w:pStyle w:val="FirstParagraph"/>
      </w:pPr>
      <w:r>
        <w:t xml:space="preserve">Northrop enters 2Q with a favorable demand backdrop, a near-record</w:t>
      </w:r>
      <w:r>
        <w:t xml:space="preserve"> </w:t>
      </w:r>
      <w:r>
        <w:rPr>
          <w:b/>
          <w:bCs/>
        </w:rPr>
        <w:t xml:space="preserve">$95.6 billion</w:t>
      </w:r>
      <w:r>
        <w:t xml:space="preserve"> </w:t>
      </w:r>
      <w:r>
        <w:t xml:space="preserve">backlog, and several large multi-year growth vectors—B-21, Sentinel, weapons/solid rocket motors, missile defense, restricted programs, and space. The key debate is whether these opportunities are now converting into</w:t>
      </w:r>
      <w:r>
        <w:t xml:space="preserve"> </w:t>
      </w:r>
      <w:r>
        <w:rPr>
          <w:b/>
          <w:bCs/>
        </w:rPr>
        <w:t xml:space="preserve">faster revenue growth, sustained margin improvement, and cash generation</w:t>
      </w:r>
      <w:r>
        <w:t xml:space="preserve"> </w:t>
      </w:r>
      <w:r>
        <w:t xml:space="preserve">without creating new fixed-price program risk.</w:t>
      </w:r>
    </w:p>
    <w:p>
      <w:pPr>
        <w:pStyle w:val="BodyText"/>
      </w:pPr>
      <w:r>
        <w:t xml:space="preserve">A modest headline beat alone may not be enough. Investors are likely to focus on:</w:t>
      </w:r>
    </w:p>
    <w:p>
      <w:pPr>
        <w:pStyle w:val="Compact"/>
        <w:numPr>
          <w:ilvl w:val="0"/>
          <w:numId w:val="1001"/>
        </w:numPr>
      </w:pPr>
      <w:r>
        <w:rPr>
          <w:b/>
          <w:bCs/>
        </w:rPr>
        <w:t xml:space="preserve">Does revenue reach the high end of the sequential-growth setup?</w:t>
      </w:r>
    </w:p>
    <w:p>
      <w:pPr>
        <w:pStyle w:val="Compact"/>
        <w:numPr>
          <w:ilvl w:val="0"/>
          <w:numId w:val="1001"/>
        </w:numPr>
      </w:pPr>
      <w:r>
        <w:rPr>
          <w:b/>
          <w:bCs/>
        </w:rPr>
        <w:t xml:space="preserve">Are B-21 economics and production-capacity investments progressing without fresh estimate-at-completion (EAC) pressure?</w:t>
      </w:r>
    </w:p>
    <w:p>
      <w:pPr>
        <w:pStyle w:val="Compact"/>
        <w:numPr>
          <w:ilvl w:val="0"/>
          <w:numId w:val="1001"/>
        </w:numPr>
      </w:pPr>
      <w:r>
        <w:rPr>
          <w:b/>
          <w:bCs/>
        </w:rPr>
        <w:t xml:space="preserve">Can Space Systems move past the GEM 63XL charge and legacy program wind-downs?</w:t>
      </w:r>
    </w:p>
    <w:p>
      <w:pPr>
        <w:pStyle w:val="Compact"/>
        <w:numPr>
          <w:ilvl w:val="0"/>
          <w:numId w:val="1001"/>
        </w:numPr>
      </w:pPr>
      <w:r>
        <w:rPr>
          <w:b/>
          <w:bCs/>
        </w:rPr>
        <w:t xml:space="preserve">Does management reaffirm—or raise—2026 guidance, especially free cash flow, while CapEx rises?</w:t>
      </w:r>
    </w:p>
    <w:p>
      <w:pPr>
        <w:pStyle w:val="Compact"/>
        <w:numPr>
          <w:ilvl w:val="0"/>
          <w:numId w:val="1001"/>
        </w:numPr>
      </w:pPr>
      <w:r>
        <w:rPr>
          <w:b/>
          <w:bCs/>
        </w:rPr>
        <w:t xml:space="preserve">Are bookings and customer funding translating the exceptional defense-demand narrative into backlog growth?</w:t>
      </w:r>
    </w:p>
    <w:p>
      <w:pPr>
        <w:pStyle w:val="FirstParagraph"/>
      </w:pPr>
      <w:r>
        <w:t xml:space="preserve">The setup appears constructive but not unchallenging: NOC closed at</w:t>
      </w:r>
      <w:r>
        <w:t xml:space="preserve"> </w:t>
      </w:r>
      <w:r>
        <w:rPr>
          <w:b/>
          <w:bCs/>
        </w:rPr>
        <w:t xml:space="preserve">$524.00 on July 20</w:t>
      </w:r>
      <w:r>
        <w:t xml:space="preserve">, down about</w:t>
      </w:r>
      <w:r>
        <w:t xml:space="preserve"> </w:t>
      </w:r>
      <w:r>
        <w:rPr>
          <w:b/>
          <w:bCs/>
        </w:rPr>
        <w:t xml:space="preserve">4.6% from its July 7 high of</w:t>
      </w:r>
      <w:r>
        <w:rPr>
          <w:b/>
          <w:bCs/>
        </w:rPr>
        <w:t xml:space="preserve"> </w:t>
      </w:r>
      <m:oMath>
        <m:r>
          <m:t>549.04</m:t>
        </m:r>
        <m:r>
          <m:rPr>
            <m:sty m:val="p"/>
          </m:rPr>
          <m:t>*</m:t>
        </m:r>
        <m:r>
          <m:rPr>
            <m:sty m:val="p"/>
          </m:rPr>
          <m:t>*</m:t>
        </m:r>
        <m:r>
          <m:rPr>
            <m:sty m:val="p"/>
          </m:rPr>
          <m:t>,</m:t>
        </m:r>
        <m:r>
          <m:t>t</m:t>
        </m:r>
        <m:r>
          <m:t>h</m:t>
        </m:r>
        <m:r>
          <m:t>o</m:t>
        </m:r>
        <m:r>
          <m:t>u</m:t>
        </m:r>
        <m:r>
          <m:t>g</m:t>
        </m:r>
        <m:r>
          <m:t>h</m:t>
        </m:r>
        <m:r>
          <m:t>s</m:t>
        </m:r>
        <m:r>
          <m:t>t</m:t>
        </m:r>
        <m:r>
          <m:t>i</m:t>
        </m:r>
        <m:r>
          <m:t>l</m:t>
        </m:r>
        <m:r>
          <m:t>l</m:t>
        </m:r>
        <m:r>
          <m:t>a</m:t>
        </m:r>
        <m:r>
          <m:t>b</m:t>
        </m:r>
        <m:r>
          <m:t>o</m:t>
        </m:r>
        <m:r>
          <m:t>v</m:t>
        </m:r>
        <m:r>
          <m:t>e</m:t>
        </m:r>
        <m:r>
          <m:t>i</m:t>
        </m:r>
        <m:r>
          <m:t>t</m:t>
        </m:r>
        <m:r>
          <m:t>s</m:t>
        </m:r>
        <m:r>
          <m:rPr>
            <m:sty m:val="p"/>
          </m:rPr>
          <m:t>*</m:t>
        </m:r>
        <m:r>
          <m:rPr>
            <m:sty m:val="p"/>
          </m:rPr>
          <m:t>*</m:t>
        </m:r>
      </m:oMath>
      <w:r>
        <w:rPr>
          <w:b/>
          <w:bCs/>
        </w:rPr>
        <w:t xml:space="preserve">509.31</w:t>
      </w:r>
      <w:r>
        <w:t xml:space="preserve"> </w:t>
      </w:r>
      <w:r>
        <w:t xml:space="preserve">June 30 close. That suggests some cooling in near-term expectations, but the stock remains exposed to execution and guidance commentary.</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Street expectation</w:t>
            </w:r>
          </w:p>
        </w:tc>
        <w:tc>
          <w:tcPr/>
          <w:p>
            <w:pPr>
              <w:pStyle w:val="Compact"/>
              <w:jc w:val="right"/>
            </w:pPr>
            <w:r>
              <w:t xml:space="preserve">2Q25 actual</w:t>
            </w:r>
          </w:p>
        </w:tc>
        <w:tc>
          <w:tcPr/>
          <w:p>
            <w:pPr>
              <w:pStyle w:val="Compact"/>
              <w:jc w:val="right"/>
            </w:pPr>
            <w:r>
              <w:t xml:space="preserve">Implied YoY change</w:t>
            </w:r>
          </w:p>
        </w:tc>
      </w:tr>
      <w:tr>
        <w:tc>
          <w:tcPr/>
          <w:p>
            <w:pPr>
              <w:pStyle w:val="Compact"/>
            </w:pPr>
            <w:r>
              <w:t xml:space="preserve">Revenue</w:t>
            </w:r>
          </w:p>
        </w:tc>
        <w:tc>
          <w:tcPr/>
          <w:p>
            <w:pPr>
              <w:pStyle w:val="Compact"/>
              <w:jc w:val="right"/>
            </w:pPr>
            <w:r>
              <w:rPr>
                <w:b/>
                <w:bCs/>
              </w:rPr>
              <w:t xml:space="preserve">$10.8B</w:t>
            </w:r>
          </w:p>
        </w:tc>
        <w:tc>
          <w:tcPr/>
          <w:p>
            <w:pPr>
              <w:pStyle w:val="Compact"/>
              <w:jc w:val="right"/>
            </w:pPr>
            <w:r>
              <w:t xml:space="preserve">$10.35B</w:t>
            </w:r>
          </w:p>
        </w:tc>
        <w:tc>
          <w:tcPr/>
          <w:p>
            <w:pPr>
              <w:pStyle w:val="Compact"/>
              <w:jc w:val="right"/>
            </w:pPr>
            <w:r>
              <w:rPr>
                <w:b/>
                <w:bCs/>
              </w:rPr>
              <w:t xml:space="preserve">+4.4%</w:t>
            </w:r>
          </w:p>
        </w:tc>
      </w:tr>
      <w:tr>
        <w:tc>
          <w:tcPr/>
          <w:p>
            <w:pPr>
              <w:pStyle w:val="Compact"/>
            </w:pPr>
            <w:r>
              <w:t xml:space="preserve">EPS</w:t>
            </w:r>
          </w:p>
        </w:tc>
        <w:tc>
          <w:tcPr/>
          <w:p>
            <w:pPr>
              <w:pStyle w:val="Compact"/>
              <w:jc w:val="right"/>
            </w:pPr>
            <w:r>
              <w:rPr>
                <w:b/>
                <w:bCs/>
              </w:rPr>
              <w:t xml:space="preserve">$6.83</w:t>
            </w:r>
          </w:p>
        </w:tc>
        <w:tc>
          <w:tcPr/>
          <w:p>
            <w:pPr>
              <w:pStyle w:val="Compact"/>
              <w:jc w:val="right"/>
            </w:pPr>
            <w:r>
              <w:t xml:space="preserve">$8.15</w:t>
            </w:r>
          </w:p>
        </w:tc>
        <w:tc>
          <w:tcPr/>
          <w:p>
            <w:pPr>
              <w:pStyle w:val="Compact"/>
              <w:jc w:val="right"/>
            </w:pPr>
            <w:r>
              <w:rPr>
                <w:b/>
                <w:bCs/>
              </w:rPr>
              <w:t xml:space="preserve">-16.2%</w:t>
            </w:r>
          </w:p>
        </w:tc>
      </w:tr>
    </w:tbl>
    <w:p>
      <w:pPr>
        <w:pStyle w:val="BodyText"/>
      </w:pPr>
      <w:r>
        <w:t xml:space="preserve">The EPS comparison is not clean. Second-quarter 2025 GAAP EPS included a</w:t>
      </w:r>
      <w:r>
        <w:t xml:space="preserve"> </w:t>
      </w:r>
      <w:r>
        <w:rPr>
          <w:b/>
          <w:bCs/>
        </w:rPr>
        <w:t xml:space="preserve">$1.04-per-share after-tax gain tied to the training-services divestiture</w:t>
      </w:r>
      <w:r>
        <w:t xml:space="preserve">. Accordingly, the expected year-over-year EPS decline should not be read as a like-for-like deterioration in operating performance.</w:t>
      </w:r>
    </w:p>
    <w:p>
      <w:pPr>
        <w:pStyle w:val="BodyText"/>
      </w:pPr>
      <w:r>
        <w:t xml:space="preserve">Revenue is a more useful immediate scorecard. Management said after 1Q that it expected</w:t>
      </w:r>
      <w:r>
        <w:t xml:space="preserve"> </w:t>
      </w:r>
      <w:r>
        <w:rPr>
          <w:b/>
          <w:bCs/>
        </w:rPr>
        <w:t xml:space="preserve">high-single-digit sequential sales growth</w:t>
      </w:r>
      <w:r>
        <w:t xml:space="preserve"> </w:t>
      </w:r>
      <w:r>
        <w:t xml:space="preserve">in 2Q. From 1Q revenue of</w:t>
      </w:r>
      <w:r>
        <w:t xml:space="preserve"> </w:t>
      </w:r>
      <w:r>
        <w:rPr>
          <w:b/>
          <w:bCs/>
        </w:rPr>
        <w:t xml:space="preserve">$9.88B</w:t>
      </w:r>
      <w:r>
        <w:t xml:space="preserve">, the Street’s $10.8B estimate implies roughly</w:t>
      </w:r>
      <w:r>
        <w:t xml:space="preserve"> </w:t>
      </w:r>
      <w:r>
        <w:rPr>
          <w:b/>
          <w:bCs/>
        </w:rPr>
        <w:t xml:space="preserve">9.3% sequential growth</w:t>
      </w:r>
      <w:r>
        <w:t xml:space="preserve">, placing consensus at the upper end of that framework.</w:t>
      </w:r>
    </w:p>
    <w:p>
      <w:r>
        <w:pict>
          <v:rect style="width:0;height:1.5pt" o:hralign="center" o:hrstd="t" o:hr="t"/>
        </w:pict>
      </w:r>
    </w:p>
    <w:bookmarkEnd w:id="10"/>
    <w:bookmarkStart w:id="11" w:name="X989908695c6178fde6bd0295d598fdbaa1416f8"/>
    <w:p>
      <w:pPr>
        <w:pStyle w:val="Heading2"/>
      </w:pPr>
      <w:r>
        <w:t xml:space="preserve">The guidepost: 2026 outlook remains the main valuation anchor</w:t>
      </w:r>
    </w:p>
    <w:p>
      <w:pPr>
        <w:pStyle w:val="FirstParagraph"/>
      </w:pPr>
      <w:r>
        <w:t xml:space="preserve">Northrop reaffirmed the following full-year outlook after 1Q:</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Range</w:t>
            </w:r>
          </w:p>
        </w:tc>
        <w:tc>
          <w:tcPr/>
          <w:p>
            <w:pPr>
              <w:pStyle w:val="Compact"/>
              <w:jc w:val="right"/>
            </w:pPr>
            <w:r>
              <w:t xml:space="preserve">Midpoint</w:t>
            </w:r>
          </w:p>
        </w:tc>
      </w:tr>
      <w:tr>
        <w:tc>
          <w:tcPr/>
          <w:p>
            <w:pPr>
              <w:pStyle w:val="Compact"/>
            </w:pPr>
            <w:r>
              <w:t xml:space="preserve">Sales</w:t>
            </w:r>
          </w:p>
        </w:tc>
        <w:tc>
          <w:tcPr/>
          <w:p>
            <w:pPr>
              <w:pStyle w:val="Compact"/>
              <w:jc w:val="right"/>
            </w:pPr>
            <m:oMath>
              <m:r>
                <m:t>43.5</m:t>
              </m:r>
              <m:r>
                <m:t>B</m:t>
              </m:r>
              <m:r>
                <m:rPr>
                  <m:sty m:val="p"/>
                </m:rPr>
                <m:t>–</m:t>
              </m:r>
            </m:oMath>
            <w:r>
              <w:t xml:space="preserve">44.0B</w:t>
            </w:r>
          </w:p>
        </w:tc>
        <w:tc>
          <w:tcPr/>
          <w:p>
            <w:pPr>
              <w:pStyle w:val="Compact"/>
              <w:jc w:val="right"/>
            </w:pPr>
            <w:r>
              <w:rPr>
                <w:b/>
                <w:bCs/>
              </w:rPr>
              <w:t xml:space="preserve">$43.75B</w:t>
            </w:r>
          </w:p>
        </w:tc>
      </w:tr>
      <w:tr>
        <w:tc>
          <w:tcPr/>
          <w:p>
            <w:pPr>
              <w:pStyle w:val="Compact"/>
            </w:pPr>
            <w:r>
              <w:t xml:space="preserve">Segment operating income</w:t>
            </w:r>
          </w:p>
        </w:tc>
        <w:tc>
          <w:tcPr/>
          <w:p>
            <w:pPr>
              <w:pStyle w:val="Compact"/>
              <w:jc w:val="right"/>
            </w:pPr>
            <m:oMath>
              <m:r>
                <m:t>4.85</m:t>
              </m:r>
              <m:r>
                <m:t>B</m:t>
              </m:r>
              <m:r>
                <m:rPr>
                  <m:sty m:val="p"/>
                </m:rPr>
                <m:t>–</m:t>
              </m:r>
            </m:oMath>
            <w:r>
              <w:t xml:space="preserve">5.00B</w:t>
            </w:r>
          </w:p>
        </w:tc>
        <w:tc>
          <w:tcPr/>
          <w:p>
            <w:pPr>
              <w:pStyle w:val="Compact"/>
              <w:jc w:val="right"/>
            </w:pPr>
            <w:r>
              <w:rPr>
                <w:b/>
                <w:bCs/>
              </w:rPr>
              <w:t xml:space="preserve">$4.93B</w:t>
            </w:r>
          </w:p>
        </w:tc>
      </w:tr>
      <w:tr>
        <w:tc>
          <w:tcPr/>
          <w:p>
            <w:pPr>
              <w:pStyle w:val="Compact"/>
            </w:pPr>
            <w:r>
              <w:t xml:space="preserve">MTM-adjusted EPS</w:t>
            </w:r>
          </w:p>
        </w:tc>
        <w:tc>
          <w:tcPr/>
          <w:p>
            <w:pPr>
              <w:pStyle w:val="Compact"/>
              <w:jc w:val="right"/>
            </w:pPr>
            <m:oMath>
              <m:r>
                <m:t>27.40</m:t>
              </m:r>
              <m:r>
                <m:rPr>
                  <m:sty m:val="p"/>
                </m:rPr>
                <m:t>–</m:t>
              </m:r>
            </m:oMath>
            <w:r>
              <w:t xml:space="preserve">27.90</w:t>
            </w:r>
          </w:p>
        </w:tc>
        <w:tc>
          <w:tcPr/>
          <w:p>
            <w:pPr>
              <w:pStyle w:val="Compact"/>
              <w:jc w:val="right"/>
            </w:pPr>
            <w:r>
              <w:rPr>
                <w:b/>
                <w:bCs/>
              </w:rPr>
              <w:t xml:space="preserve">$27.65</w:t>
            </w:r>
          </w:p>
        </w:tc>
      </w:tr>
      <w:tr>
        <w:tc>
          <w:tcPr/>
          <w:p>
            <w:pPr>
              <w:pStyle w:val="Compact"/>
            </w:pPr>
            <w:r>
              <w:t xml:space="preserve">Free cash flow</w:t>
            </w:r>
          </w:p>
        </w:tc>
        <w:tc>
          <w:tcPr/>
          <w:p>
            <w:pPr>
              <w:pStyle w:val="Compact"/>
              <w:jc w:val="right"/>
            </w:pPr>
            <m:oMath>
              <m:r>
                <m:t>3.10</m:t>
              </m:r>
              <m:r>
                <m:t>B</m:t>
              </m:r>
              <m:r>
                <m:rPr>
                  <m:sty m:val="p"/>
                </m:rPr>
                <m:t>–</m:t>
              </m:r>
            </m:oMath>
            <w:r>
              <w:t xml:space="preserve">3.50B</w:t>
            </w:r>
          </w:p>
        </w:tc>
        <w:tc>
          <w:tcPr/>
          <w:p>
            <w:pPr>
              <w:pStyle w:val="Compact"/>
              <w:jc w:val="right"/>
            </w:pPr>
            <w:r>
              <w:rPr>
                <w:b/>
                <w:bCs/>
              </w:rPr>
              <w:t xml:space="preserve">$3.30B</w:t>
            </w:r>
          </w:p>
        </w:tc>
      </w:tr>
    </w:tbl>
    <w:p>
      <w:pPr>
        <w:pStyle w:val="BodyText"/>
      </w:pPr>
      <w:r>
        <w:t xml:space="preserve">Segment expectations are for:</w:t>
      </w:r>
    </w:p>
    <w:p>
      <w:pPr>
        <w:pStyle w:val="Compact"/>
        <w:numPr>
          <w:ilvl w:val="0"/>
          <w:numId w:val="1002"/>
        </w:numPr>
      </w:pPr>
      <w:r>
        <w:rPr>
          <w:b/>
          <w:bCs/>
        </w:rPr>
        <w:t xml:space="preserve">Aeronautics Systems:</w:t>
      </w:r>
      <w:r>
        <w:t xml:space="preserve"> </w:t>
      </w:r>
      <w:r>
        <w:t xml:space="preserve">mid-$13B of sales; low-to-mid-9% operating margin</w:t>
      </w:r>
    </w:p>
    <w:p>
      <w:pPr>
        <w:pStyle w:val="Compact"/>
        <w:numPr>
          <w:ilvl w:val="0"/>
          <w:numId w:val="1002"/>
        </w:numPr>
      </w:pPr>
      <w:r>
        <w:rPr>
          <w:b/>
          <w:bCs/>
        </w:rPr>
        <w:t xml:space="preserve">Defense Systems:</w:t>
      </w:r>
      <w:r>
        <w:t xml:space="preserve"> </w:t>
      </w:r>
      <w:r>
        <w:t xml:space="preserve">mid-to-high-$8B; approximately 10% margin</w:t>
      </w:r>
    </w:p>
    <w:p>
      <w:pPr>
        <w:pStyle w:val="Compact"/>
        <w:numPr>
          <w:ilvl w:val="0"/>
          <w:numId w:val="1002"/>
        </w:numPr>
      </w:pPr>
      <w:r>
        <w:rPr>
          <w:b/>
          <w:bCs/>
        </w:rPr>
        <w:t xml:space="preserve">Mission Systems:</w:t>
      </w:r>
      <w:r>
        <w:t xml:space="preserve"> </w:t>
      </w:r>
      <w:r>
        <w:t xml:space="preserve">high-$12B; high-14% margin</w:t>
      </w:r>
    </w:p>
    <w:p>
      <w:pPr>
        <w:pStyle w:val="Compact"/>
        <w:numPr>
          <w:ilvl w:val="0"/>
          <w:numId w:val="1002"/>
        </w:numPr>
      </w:pPr>
      <w:r>
        <w:rPr>
          <w:b/>
          <w:bCs/>
        </w:rPr>
        <w:t xml:space="preserve">Space Systems:</w:t>
      </w:r>
      <w:r>
        <w:t xml:space="preserve"> </w:t>
      </w:r>
      <w:r>
        <w:t xml:space="preserve">approximately $11B; approximately 11% margin</w:t>
      </w:r>
    </w:p>
    <w:p>
      <w:pPr>
        <w:pStyle w:val="FirstParagraph"/>
      </w:pPr>
      <w:r>
        <w:t xml:space="preserve">If NOC delivers the</w:t>
      </w:r>
      <w:r>
        <w:t xml:space="preserve"> </w:t>
      </w:r>
      <m:oMath>
        <m:r>
          <m:t>10.8</m:t>
        </m:r>
        <m:r>
          <m:t>B</m:t>
        </m:r>
        <m:r>
          <m:t>r</m:t>
        </m:r>
        <m:r>
          <m:t>e</m:t>
        </m:r>
        <m:r>
          <m:t>v</m:t>
        </m:r>
        <m:r>
          <m:t>e</m:t>
        </m:r>
        <m:r>
          <m:t>n</m:t>
        </m:r>
        <m:r>
          <m:t>u</m:t>
        </m:r>
        <m:r>
          <m:t>e</m:t>
        </m:r>
        <m:r>
          <m:t>c</m:t>
        </m:r>
        <m:r>
          <m:t>o</m:t>
        </m:r>
        <m:r>
          <m:t>n</m:t>
        </m:r>
        <m:r>
          <m:t>s</m:t>
        </m:r>
        <m:r>
          <m:t>e</m:t>
        </m:r>
        <m:r>
          <m:t>n</m:t>
        </m:r>
        <m:r>
          <m:t>s</m:t>
        </m:r>
        <m:r>
          <m:t>u</m:t>
        </m:r>
        <m:r>
          <m:t>s</m:t>
        </m:r>
        <m:r>
          <m:t>i</m:t>
        </m:r>
        <m:r>
          <m:t>n</m:t>
        </m:r>
        <m:r>
          <m:t>2</m:t>
        </m:r>
        <m:r>
          <m:t>Q</m:t>
        </m:r>
        <m:r>
          <m:rPr>
            <m:sty m:val="p"/>
          </m:rPr>
          <m:t>,</m:t>
        </m:r>
        <m:r>
          <m:t>f</m:t>
        </m:r>
        <m:r>
          <m:t>i</m:t>
        </m:r>
        <m:r>
          <m:t>r</m:t>
        </m:r>
        <m:r>
          <m:t>s</m:t>
        </m:r>
        <m:r>
          <m:t>t</m:t>
        </m:r>
        <m:r>
          <m:rPr>
            <m:sty m:val="p"/>
          </m:rPr>
          <m:t>−</m:t>
        </m:r>
        <m:r>
          <m:t>h</m:t>
        </m:r>
        <m:r>
          <m:t>a</m:t>
        </m:r>
        <m:r>
          <m:t>l</m:t>
        </m:r>
        <m:r>
          <m:t>f</m:t>
        </m:r>
        <m:r>
          <m:t>s</m:t>
        </m:r>
        <m:r>
          <m:t>a</m:t>
        </m:r>
        <m:r>
          <m:t>l</m:t>
        </m:r>
        <m:r>
          <m:t>e</m:t>
        </m:r>
        <m:r>
          <m:t>s</m:t>
        </m:r>
        <m:r>
          <m:t>w</m:t>
        </m:r>
        <m:r>
          <m:t>o</m:t>
        </m:r>
        <m:r>
          <m:t>u</m:t>
        </m:r>
        <m:r>
          <m:t>l</m:t>
        </m:r>
        <m:r>
          <m:t>d</m:t>
        </m:r>
        <m:r>
          <m:t>b</m:t>
        </m:r>
        <m:r>
          <m:t>e</m:t>
        </m:r>
        <m:r>
          <m:t>r</m:t>
        </m:r>
        <m:r>
          <m:t>o</m:t>
        </m:r>
        <m:r>
          <m:t>u</m:t>
        </m:r>
        <m:r>
          <m:t>g</m:t>
        </m:r>
        <m:r>
          <m:t>h</m:t>
        </m:r>
        <m:r>
          <m:t>l</m:t>
        </m:r>
        <m:r>
          <m:t>y</m:t>
        </m:r>
        <m:r>
          <m:rPr>
            <m:sty m:val="p"/>
          </m:rPr>
          <m:t>*</m:t>
        </m:r>
        <m:r>
          <m:rPr>
            <m:sty m:val="p"/>
          </m:rPr>
          <m:t>*</m:t>
        </m:r>
      </m:oMath>
      <w:r>
        <w:t xml:space="preserve">20.7B**. Achieving the midpoint of full-year guidance would then require about</w:t>
      </w:r>
      <w:r>
        <w:t xml:space="preserve"> </w:t>
      </w:r>
      <w:r>
        <w:rPr>
          <w:b/>
          <w:bCs/>
        </w:rPr>
        <w:t xml:space="preserve">$23.1B</w:t>
      </w:r>
      <w:r>
        <w:t xml:space="preserve"> </w:t>
      </w:r>
      <w:r>
        <w:t xml:space="preserve">in the second half—only around</w:t>
      </w:r>
      <w:r>
        <w:t xml:space="preserve"> </w:t>
      </w:r>
      <w:r>
        <w:rPr>
          <w:b/>
          <w:bCs/>
        </w:rPr>
        <w:t xml:space="preserve">4% growth versus 2H25</w:t>
      </w:r>
      <w:r>
        <w:t xml:space="preserve">. In other words,</w:t>
      </w:r>
      <w:r>
        <w:t xml:space="preserve"> </w:t>
      </w:r>
      <w:r>
        <w:rPr>
          <w:b/>
          <w:bCs/>
        </w:rPr>
        <w:t xml:space="preserve">the sales guide appears achievable</w:t>
      </w:r>
      <w:r>
        <w:t xml:space="preserve">; the larger question is whether management’s commentary supports upside beyond the current plan.</w:t>
      </w:r>
    </w:p>
    <w:p>
      <w:r>
        <w:pict>
          <v:rect style="width:0;height:1.5pt" o:hralign="center" o:hrstd="t" o:hr="t"/>
        </w:pict>
      </w:r>
    </w:p>
    <w:bookmarkEnd w:id="11"/>
    <w:bookmarkStart w:id="17" w:name="what-matters-most-in-the-release"/>
    <w:p>
      <w:pPr>
        <w:pStyle w:val="Heading2"/>
      </w:pPr>
      <w:r>
        <w:t xml:space="preserve">What matters most in the release</w:t>
      </w:r>
    </w:p>
    <w:bookmarkStart w:id="12" w:name="X91b0e77f275f039ac0a92b16593e9dba6e8df72"/>
    <w:p>
      <w:pPr>
        <w:pStyle w:val="Heading3"/>
      </w:pPr>
      <w:r>
        <w:t xml:space="preserve">1. Aeronautics: B-21 execution and economics</w:t>
      </w:r>
    </w:p>
    <w:p>
      <w:pPr>
        <w:pStyle w:val="FirstParagraph"/>
      </w:pPr>
      <w:r>
        <w:t xml:space="preserve">B-21 is the centerpiece. Management has described the program as nearing</w:t>
      </w:r>
      <w:r>
        <w:t xml:space="preserve"> </w:t>
      </w:r>
      <w:r>
        <w:rPr>
          <w:b/>
          <w:bCs/>
        </w:rPr>
        <w:t xml:space="preserve">10% of company revenue</w:t>
      </w:r>
      <w:r>
        <w:t xml:space="preserve">, with the recently agreed production-rate increase expected to improve long-term program economics.</w:t>
      </w:r>
    </w:p>
    <w:p>
      <w:pPr>
        <w:pStyle w:val="BodyText"/>
      </w:pPr>
      <w:r>
        <w:t xml:space="preserve">Important facts entering the quarter:</w:t>
      </w:r>
    </w:p>
    <w:p>
      <w:pPr>
        <w:pStyle w:val="Compact"/>
        <w:numPr>
          <w:ilvl w:val="0"/>
          <w:numId w:val="1003"/>
        </w:numPr>
      </w:pPr>
      <w:r>
        <w:t xml:space="preserve">Northrop and the Air Force agreed to increase B-21 annual production capacity by</w:t>
      </w:r>
      <w:r>
        <w:t xml:space="preserve"> </w:t>
      </w:r>
      <w:r>
        <w:rPr>
          <w:b/>
          <w:bCs/>
        </w:rPr>
        <w:t xml:space="preserve">25%</w:t>
      </w:r>
      <w:r>
        <w:t xml:space="preserve">.</w:t>
      </w:r>
    </w:p>
    <w:p>
      <w:pPr>
        <w:pStyle w:val="Compact"/>
        <w:numPr>
          <w:ilvl w:val="0"/>
          <w:numId w:val="1003"/>
        </w:numPr>
      </w:pPr>
      <w:r>
        <w:t xml:space="preserve">The company expects to invest about</w:t>
      </w:r>
      <w:r>
        <w:t xml:space="preserve"> </w:t>
      </w:r>
      <w:r>
        <w:rPr>
          <w:b/>
          <w:bCs/>
        </w:rPr>
        <w:t xml:space="preserve">$2.5B</w:t>
      </w:r>
      <w:r>
        <w:t xml:space="preserve"> </w:t>
      </w:r>
      <w:r>
        <w:t xml:space="preserve">to support expanded B-21 capacity, primarily in 2027–2029.</w:t>
      </w:r>
    </w:p>
    <w:p>
      <w:pPr>
        <w:pStyle w:val="Compact"/>
        <w:numPr>
          <w:ilvl w:val="0"/>
          <w:numId w:val="1003"/>
        </w:numPr>
      </w:pPr>
      <w:r>
        <w:t xml:space="preserve">About</w:t>
      </w:r>
      <w:r>
        <w:t xml:space="preserve"> </w:t>
      </w:r>
      <m:oMath>
        <m:r>
          <m:t>200</m:t>
        </m:r>
        <m:r>
          <m:t>M</m:t>
        </m:r>
        <m:r>
          <m:rPr>
            <m:sty m:val="p"/>
          </m:rPr>
          <m:t>*</m:t>
        </m:r>
        <m:r>
          <m:rPr>
            <m:sty m:val="p"/>
          </m:rPr>
          <m:t>*</m:t>
        </m:r>
        <m:r>
          <m:t>o</m:t>
        </m:r>
        <m:r>
          <m:t>f</m:t>
        </m:r>
        <m:r>
          <m:t>i</m:t>
        </m:r>
        <m:r>
          <m:t>n</m:t>
        </m:r>
        <m:r>
          <m:t>c</m:t>
        </m:r>
        <m:r>
          <m:t>r</m:t>
        </m:r>
        <m:r>
          <m:t>e</m:t>
        </m:r>
        <m:r>
          <m:t>m</m:t>
        </m:r>
        <m:r>
          <m:t>e</m:t>
        </m:r>
        <m:r>
          <m:t>n</m:t>
        </m:r>
        <m:r>
          <m:t>t</m:t>
        </m:r>
        <m:r>
          <m:t>a</m:t>
        </m:r>
        <m:r>
          <m:t>l</m:t>
        </m:r>
        <m:r>
          <m:t>B</m:t>
        </m:r>
        <m:r>
          <m:rPr>
            <m:sty m:val="p"/>
          </m:rPr>
          <m:t>−</m:t>
        </m:r>
        <m:r>
          <m:t>21</m:t>
        </m:r>
        <m:r>
          <m:t>C</m:t>
        </m:r>
        <m:r>
          <m:t>a</m:t>
        </m:r>
        <m:r>
          <m:t>p</m:t>
        </m:r>
        <m:r>
          <m:t>E</m:t>
        </m:r>
        <m:r>
          <m:t>x</m:t>
        </m:r>
        <m:r>
          <m:t>i</m:t>
        </m:r>
        <m:r>
          <m:t>s</m:t>
        </m:r>
        <m:r>
          <m:t>e</m:t>
        </m:r>
        <m:r>
          <m:t>x</m:t>
        </m:r>
        <m:r>
          <m:t>p</m:t>
        </m:r>
        <m:r>
          <m:t>e</m:t>
        </m:r>
        <m:r>
          <m:t>c</m:t>
        </m:r>
        <m:r>
          <m:t>t</m:t>
        </m:r>
        <m:r>
          <m:t>e</m:t>
        </m:r>
        <m:r>
          <m:t>d</m:t>
        </m:r>
        <m:r>
          <m:t>i</m:t>
        </m:r>
        <m:r>
          <m:t>n</m:t>
        </m:r>
        <m:r>
          <m:t>2026</m:t>
        </m:r>
        <m:r>
          <m:rPr>
            <m:sty m:val="p"/>
          </m:rPr>
          <m:t>,</m:t>
        </m:r>
        <m:r>
          <m:t>c</m:t>
        </m:r>
        <m:r>
          <m:t>o</m:t>
        </m:r>
        <m:r>
          <m:t>n</m:t>
        </m:r>
        <m:r>
          <m:t>t</m:t>
        </m:r>
        <m:r>
          <m:t>r</m:t>
        </m:r>
        <m:r>
          <m:t>i</m:t>
        </m:r>
        <m:r>
          <m:t>b</m:t>
        </m:r>
        <m:r>
          <m:t>u</m:t>
        </m:r>
        <m:r>
          <m:t>t</m:t>
        </m:r>
        <m:r>
          <m:t>i</m:t>
        </m:r>
        <m:r>
          <m:t>n</m:t>
        </m:r>
        <m:r>
          <m:t>g</m:t>
        </m:r>
        <m:r>
          <m:t>t</m:t>
        </m:r>
        <m:r>
          <m:t>o</m:t>
        </m:r>
        <m:r>
          <m:t>t</m:t>
        </m:r>
        <m:r>
          <m:t>o</m:t>
        </m:r>
        <m:r>
          <m:t>t</m:t>
        </m:r>
        <m:r>
          <m:t>a</m:t>
        </m:r>
        <m:r>
          <m:t>l</m:t>
        </m:r>
        <m:r>
          <m:t>2026</m:t>
        </m:r>
        <m:r>
          <m:t>C</m:t>
        </m:r>
        <m:r>
          <m:t>a</m:t>
        </m:r>
        <m:r>
          <m:t>p</m:t>
        </m:r>
        <m:r>
          <m:t>E</m:t>
        </m:r>
        <m:r>
          <m:t>x</m:t>
        </m:r>
        <m:r>
          <m:t>g</m:t>
        </m:r>
        <m:r>
          <m:t>u</m:t>
        </m:r>
        <m:r>
          <m:t>i</m:t>
        </m:r>
        <m:r>
          <m:t>d</m:t>
        </m:r>
        <m:r>
          <m:t>a</m:t>
        </m:r>
        <m:r>
          <m:t>n</m:t>
        </m:r>
        <m:r>
          <m:t>c</m:t>
        </m:r>
        <m:r>
          <m:t>e</m:t>
        </m:r>
        <m:r>
          <m:t>o</m:t>
        </m:r>
        <m:r>
          <m:t>f</m:t>
        </m:r>
        <m:r>
          <m:rPr>
            <m:sty m:val="p"/>
          </m:rPr>
          <m:t>*</m:t>
        </m:r>
        <m:r>
          <m:rPr>
            <m:sty m:val="p"/>
          </m:rPr>
          <m:t>*</m:t>
        </m:r>
      </m:oMath>
      <w:r>
        <w:rPr>
          <w:b/>
          <w:bCs/>
        </w:rPr>
        <w:t xml:space="preserve">1.85B</w:t>
      </w:r>
      <w:r>
        <w:t xml:space="preserve">.</w:t>
      </w:r>
    </w:p>
    <w:p>
      <w:pPr>
        <w:pStyle w:val="Compact"/>
        <w:numPr>
          <w:ilvl w:val="0"/>
          <w:numId w:val="1003"/>
        </w:numPr>
      </w:pPr>
      <w:r>
        <w:t xml:space="preserve">In 1Q, NOC said the revised B-21 agreement caused</w:t>
      </w:r>
      <w:r>
        <w:t xml:space="preserve"> </w:t>
      </w:r>
      <w:r>
        <w:rPr>
          <w:b/>
          <w:bCs/>
        </w:rPr>
        <w:t xml:space="preserve">no meaningful change to the overall EAC</w:t>
      </w:r>
      <w:r>
        <w:t xml:space="preserve">: higher costs on earlier lots were offset by better profitability later in the LRIP phase.</w:t>
      </w:r>
    </w:p>
    <w:p>
      <w:pPr>
        <w:pStyle w:val="FirstParagraph"/>
      </w:pPr>
      <w:r>
        <w:rPr>
          <w:b/>
          <w:bCs/>
        </w:rPr>
        <w:t xml:space="preserve">What investors need to hear:</w:t>
      </w:r>
      <w:r>
        <w:t xml:space="preserve"> </w:t>
      </w:r>
      <w:r>
        <w:t xml:space="preserve">no additional loss provisions, confidence in the LRIP estimate, evidence that capacity investments are on schedule, and clarity that the higher production rate is improving—not merely deferring—the program’s returns.</w:t>
      </w:r>
    </w:p>
    <w:p>
      <w:pPr>
        <w:pStyle w:val="BodyText"/>
      </w:pPr>
      <w:r>
        <w:t xml:space="preserve">Aeronautics 2Q25 margins were</w:t>
      </w:r>
      <w:r>
        <w:t xml:space="preserve"> </w:t>
      </w:r>
      <w:r>
        <w:rPr>
          <w:b/>
          <w:bCs/>
        </w:rPr>
        <w:t xml:space="preserve">10.3%</w:t>
      </w:r>
      <w:r>
        <w:t xml:space="preserve">, a relevant comparison point. The segment posted</w:t>
      </w:r>
      <w:r>
        <w:t xml:space="preserve"> </w:t>
      </w:r>
      <w:r>
        <w:rPr>
          <w:b/>
          <w:bCs/>
        </w:rPr>
        <w:t xml:space="preserve">9.3%</w:t>
      </w:r>
      <w:r>
        <w:t xml:space="preserve"> </w:t>
      </w:r>
      <w:r>
        <w:t xml:space="preserve">in 1Q26, largely because 1Q25 had contained the large B-21 loss provision, making the year-over-year comparison unusually favorable. The more meaningful test is whether margins trend toward the company’s low-to-mid-9% full-year target while B-21, TACAMO, and restricted-program volume rise.</w:t>
      </w:r>
    </w:p>
    <w:bookmarkEnd w:id="12"/>
    <w:bookmarkStart w:id="13" w:name="X83f0743c353bdc355a2caf2a8e05cbe75fdf87b"/>
    <w:p>
      <w:pPr>
        <w:pStyle w:val="Heading3"/>
      </w:pPr>
      <w:r>
        <w:t xml:space="preserve">2. Defense Systems: Sentinel, munitions, and missile-defense demand</w:t>
      </w:r>
    </w:p>
    <w:p>
      <w:pPr>
        <w:pStyle w:val="FirstParagraph"/>
      </w:pPr>
      <w:r>
        <w:t xml:space="preserve">Defense Systems should remain a principal growth engine. In 1Q, its organic sales grew</w:t>
      </w:r>
      <w:r>
        <w:t xml:space="preserve"> </w:t>
      </w:r>
      <w:r>
        <w:rPr>
          <w:b/>
          <w:bCs/>
        </w:rPr>
        <w:t xml:space="preserve">10%</w:t>
      </w:r>
      <w:r>
        <w:t xml:space="preserve">, driven by Sentinel, tactical solid rocket motors, and IBCS. Management expects Sentinel—currently about</w:t>
      </w:r>
      <w:r>
        <w:t xml:space="preserve"> </w:t>
      </w:r>
      <w:r>
        <w:rPr>
          <w:b/>
          <w:bCs/>
        </w:rPr>
        <w:t xml:space="preserve">6%–7% of company sales</w:t>
      </w:r>
      <w:r>
        <w:t xml:space="preserve">—to grow at a low-double-digit rate in 2026.</w:t>
      </w:r>
    </w:p>
    <w:p>
      <w:pPr>
        <w:pStyle w:val="BodyText"/>
      </w:pPr>
      <w:r>
        <w:t xml:space="preserve">Key items to monitor:</w:t>
      </w:r>
    </w:p>
    <w:p>
      <w:pPr>
        <w:pStyle w:val="Compact"/>
        <w:numPr>
          <w:ilvl w:val="0"/>
          <w:numId w:val="1004"/>
        </w:numPr>
      </w:pPr>
      <w:r>
        <w:rPr>
          <w:b/>
          <w:bCs/>
        </w:rPr>
        <w:t xml:space="preserve">Sentinel:</w:t>
      </w:r>
      <w:r>
        <w:t xml:space="preserve"> </w:t>
      </w:r>
      <w:r>
        <w:t xml:space="preserve">progress toward a Milestone B decision later in 2026, first flight in 2027, and initial operating capability in the early 2030s.</w:t>
      </w:r>
    </w:p>
    <w:p>
      <w:pPr>
        <w:pStyle w:val="Compact"/>
        <w:numPr>
          <w:ilvl w:val="0"/>
          <w:numId w:val="1004"/>
        </w:numPr>
      </w:pPr>
      <w:r>
        <w:rPr>
          <w:b/>
          <w:bCs/>
        </w:rPr>
        <w:t xml:space="preserve">Weapons and solid rocket motors:</w:t>
      </w:r>
      <w:r>
        <w:t xml:space="preserve"> </w:t>
      </w:r>
      <w:r>
        <w:t xml:space="preserve">management sees weapons as nearing</w:t>
      </w:r>
      <w:r>
        <w:t xml:space="preserve"> </w:t>
      </w:r>
      <w:r>
        <w:rPr>
          <w:b/>
          <w:bCs/>
        </w:rPr>
        <w:t xml:space="preserve">10% of company revenue</w:t>
      </w:r>
      <w:r>
        <w:t xml:space="preserve"> </w:t>
      </w:r>
      <w:r>
        <w:t xml:space="preserve">and among its fastest-growing businesses.</w:t>
      </w:r>
    </w:p>
    <w:p>
      <w:pPr>
        <w:pStyle w:val="Compact"/>
        <w:numPr>
          <w:ilvl w:val="0"/>
          <w:numId w:val="1004"/>
        </w:numPr>
      </w:pPr>
      <w:r>
        <w:rPr>
          <w:b/>
          <w:bCs/>
        </w:rPr>
        <w:t xml:space="preserve">Missile defense:</w:t>
      </w:r>
      <w:r>
        <w:t xml:space="preserve"> </w:t>
      </w:r>
      <w:r>
        <w:t xml:space="preserve">also described as nearly</w:t>
      </w:r>
      <w:r>
        <w:t xml:space="preserve"> </w:t>
      </w:r>
      <w:r>
        <w:rPr>
          <w:b/>
          <w:bCs/>
        </w:rPr>
        <w:t xml:space="preserve">10% of revenue</w:t>
      </w:r>
      <w:r>
        <w:t xml:space="preserve">, with potential exposure to broader layered-defense and Golden Dome-related opportunities.</w:t>
      </w:r>
    </w:p>
    <w:p>
      <w:pPr>
        <w:pStyle w:val="Compact"/>
        <w:numPr>
          <w:ilvl w:val="0"/>
          <w:numId w:val="1004"/>
        </w:numPr>
      </w:pPr>
      <w:r>
        <w:rPr>
          <w:b/>
          <w:bCs/>
        </w:rPr>
        <w:t xml:space="preserve">Margins:</w:t>
      </w:r>
      <w:r>
        <w:t xml:space="preserve"> </w:t>
      </w:r>
      <w:r>
        <w:t xml:space="preserve">2Q25 Defense margin was an elevated</w:t>
      </w:r>
      <w:r>
        <w:t xml:space="preserve"> </w:t>
      </w:r>
      <w:r>
        <w:rPr>
          <w:b/>
          <w:bCs/>
        </w:rPr>
        <w:t xml:space="preserve">12.7%</w:t>
      </w:r>
      <w:r>
        <w:t xml:space="preserve">, aided by a</w:t>
      </w:r>
      <w:r>
        <w:t xml:space="preserve"> </w:t>
      </w:r>
      <w:r>
        <w:rPr>
          <w:b/>
          <w:bCs/>
        </w:rPr>
        <w:t xml:space="preserve">$76M favorable Sentinel EAC adjustment</w:t>
      </w:r>
      <w:r>
        <w:t xml:space="preserve">. Investors should normalize the comparison rather than demand a repeat of that level.</w:t>
      </w:r>
    </w:p>
    <w:p>
      <w:pPr>
        <w:pStyle w:val="FirstParagraph"/>
      </w:pPr>
      <w:r>
        <w:t xml:space="preserve">The bullish outcome is strong Sentinel and munitions growth with margins around the company’s ~10% full-year guide. A weak outcome would be slower program conversion, lower EAC favorability, or signs that supply-chain capacity remains a gating item.</w:t>
      </w:r>
    </w:p>
    <w:bookmarkEnd w:id="13"/>
    <w:bookmarkStart w:id="14" w:name="X5e9fe2ce6509620f479f337441971b6e6e05ccf"/>
    <w:p>
      <w:pPr>
        <w:pStyle w:val="Heading3"/>
      </w:pPr>
      <w:r>
        <w:t xml:space="preserve">3. Mission Systems: protect the margin franchise</w:t>
      </w:r>
    </w:p>
    <w:p>
      <w:pPr>
        <w:pStyle w:val="FirstParagraph"/>
      </w:pPr>
      <w:r>
        <w:t xml:space="preserve">Mission Systems is NOC’s highest-margin major segment and has been a consistent source of upside. In 1Q, sales rose just</w:t>
      </w:r>
      <w:r>
        <w:t xml:space="preserve"> </w:t>
      </w:r>
      <w:r>
        <w:rPr>
          <w:b/>
          <w:bCs/>
        </w:rPr>
        <w:t xml:space="preserve">2%</w:t>
      </w:r>
      <w:r>
        <w:t xml:space="preserve">, but operating margin reached</w:t>
      </w:r>
      <w:r>
        <w:t xml:space="preserve"> </w:t>
      </w:r>
      <w:r>
        <w:rPr>
          <w:b/>
          <w:bCs/>
        </w:rPr>
        <w:t xml:space="preserve">15.1%</w:t>
      </w:r>
      <w:r>
        <w:t xml:space="preserve">, supported by favorable EAC adjustments and the absence of prior-year restricted-business investments.</w:t>
      </w:r>
    </w:p>
    <w:p>
      <w:pPr>
        <w:pStyle w:val="BodyText"/>
      </w:pPr>
      <w:r>
        <w:t xml:space="preserve">For 2Q, investors should watch whether:</w:t>
      </w:r>
    </w:p>
    <w:p>
      <w:pPr>
        <w:pStyle w:val="Compact"/>
        <w:numPr>
          <w:ilvl w:val="0"/>
          <w:numId w:val="1005"/>
        </w:numPr>
      </w:pPr>
      <w:r>
        <w:t xml:space="preserve">restricted airborne radar programs continue to ramp;</w:t>
      </w:r>
    </w:p>
    <w:p>
      <w:pPr>
        <w:pStyle w:val="Compact"/>
        <w:numPr>
          <w:ilvl w:val="0"/>
          <w:numId w:val="1005"/>
        </w:numPr>
      </w:pPr>
      <w:r>
        <w:t xml:space="preserve">marine systems and international radar remain supportive;</w:t>
      </w:r>
    </w:p>
    <w:p>
      <w:pPr>
        <w:pStyle w:val="Compact"/>
        <w:numPr>
          <w:ilvl w:val="0"/>
          <w:numId w:val="1005"/>
        </w:numPr>
      </w:pPr>
      <w:r>
        <w:t xml:space="preserve">margins remain consistent with the</w:t>
      </w:r>
      <w:r>
        <w:t xml:space="preserve"> </w:t>
      </w:r>
      <w:r>
        <w:rPr>
          <w:b/>
          <w:bCs/>
        </w:rPr>
        <w:t xml:space="preserve">high-14%</w:t>
      </w:r>
      <w:r>
        <w:t xml:space="preserve"> </w:t>
      </w:r>
      <w:r>
        <w:t xml:space="preserve">full-year guide; and</w:t>
      </w:r>
    </w:p>
    <w:p>
      <w:pPr>
        <w:pStyle w:val="Compact"/>
        <w:numPr>
          <w:ilvl w:val="0"/>
          <w:numId w:val="1005"/>
        </w:numPr>
      </w:pPr>
      <w:r>
        <w:t xml:space="preserve">the segment can grow without becoming overly dependent on favorable EAC timing.</w:t>
      </w:r>
    </w:p>
    <w:p>
      <w:pPr>
        <w:pStyle w:val="FirstParagraph"/>
      </w:pPr>
      <w:r>
        <w:t xml:space="preserve">The 2Q25 comparison is demanding: revenue grew</w:t>
      </w:r>
      <w:r>
        <w:t xml:space="preserve"> </w:t>
      </w:r>
      <w:r>
        <w:rPr>
          <w:b/>
          <w:bCs/>
        </w:rPr>
        <w:t xml:space="preserve">14%</w:t>
      </w:r>
      <w:r>
        <w:t xml:space="preserve"> </w:t>
      </w:r>
      <w:r>
        <w:t xml:space="preserve">and margin was</w:t>
      </w:r>
      <w:r>
        <w:t xml:space="preserve"> </w:t>
      </w:r>
      <w:r>
        <w:rPr>
          <w:b/>
          <w:bCs/>
        </w:rPr>
        <w:t xml:space="preserve">14.0%</w:t>
      </w:r>
      <w:r>
        <w:t xml:space="preserve">, helped by a restricted-award timing benefit. Solid underlying growth and a mid-teens margin would still support the thesis.</w:t>
      </w:r>
    </w:p>
    <w:bookmarkEnd w:id="14"/>
    <w:bookmarkStart w:id="15" w:name="X08b3c27224460c4d98176a23cc6d6774ca21376"/>
    <w:p>
      <w:pPr>
        <w:pStyle w:val="Heading3"/>
      </w:pPr>
      <w:r>
        <w:t xml:space="preserve">4. Space Systems: the principal execution watch item</w:t>
      </w:r>
    </w:p>
    <w:p>
      <w:pPr>
        <w:pStyle w:val="FirstParagraph"/>
      </w:pPr>
      <w:r>
        <w:t xml:space="preserve">Space is the segment most likely to shape downside perception. It has been working through the wind-down of NGI and certain restricted-space work, while ramping SDA satellite programs and newer awards.</w:t>
      </w:r>
    </w:p>
    <w:p>
      <w:pPr>
        <w:pStyle w:val="BodyText"/>
      </w:pPr>
      <w:r>
        <w:t xml:space="preserve">The immediate issue is the</w:t>
      </w:r>
      <w:r>
        <w:t xml:space="preserve"> </w:t>
      </w:r>
      <m:oMath>
        <m:r>
          <m:t>71</m:t>
        </m:r>
        <m:r>
          <m:t>M</m:t>
        </m:r>
        <m:r>
          <m:t>u</m:t>
        </m:r>
        <m:r>
          <m:t>n</m:t>
        </m:r>
        <m:r>
          <m:t>f</m:t>
        </m:r>
        <m:r>
          <m:t>a</m:t>
        </m:r>
        <m:r>
          <m:t>v</m:t>
        </m:r>
        <m:r>
          <m:t>o</m:t>
        </m:r>
        <m:r>
          <m:t>r</m:t>
        </m:r>
        <m:r>
          <m:t>a</m:t>
        </m:r>
        <m:r>
          <m:t>b</m:t>
        </m:r>
        <m:r>
          <m:t>l</m:t>
        </m:r>
        <m:r>
          <m:t>e</m:t>
        </m:r>
        <m:r>
          <m:t>E</m:t>
        </m:r>
        <m:r>
          <m:t>A</m:t>
        </m:r>
        <m:r>
          <m:t>C</m:t>
        </m:r>
        <m:r>
          <m:t>a</m:t>
        </m:r>
        <m:r>
          <m:t>d</m:t>
        </m:r>
        <m:r>
          <m:t>j</m:t>
        </m:r>
        <m:r>
          <m:t>u</m:t>
        </m:r>
        <m:r>
          <m:t>s</m:t>
        </m:r>
        <m:r>
          <m:t>t</m:t>
        </m:r>
        <m:r>
          <m:t>m</m:t>
        </m:r>
        <m:r>
          <m:t>e</m:t>
        </m:r>
        <m:r>
          <m:t>n</m:t>
        </m:r>
        <m:r>
          <m:t>t</m:t>
        </m:r>
        <m:r>
          <m:rPr>
            <m:sty m:val="p"/>
          </m:rPr>
          <m:t>*</m:t>
        </m:r>
        <m:r>
          <m:rPr>
            <m:sty m:val="p"/>
          </m:rPr>
          <m:t>*</m:t>
        </m:r>
        <m:r>
          <m:t>t</m:t>
        </m:r>
        <m:r>
          <m:t>a</m:t>
        </m:r>
        <m:r>
          <m:t>k</m:t>
        </m:r>
        <m:r>
          <m:t>e</m:t>
        </m:r>
        <m:r>
          <m:t>n</m:t>
        </m:r>
        <m:r>
          <m:t>i</m:t>
        </m:r>
        <m:r>
          <m:t>n</m:t>
        </m:r>
        <m:r>
          <m:t>1</m:t>
        </m:r>
        <m:r>
          <m:t>Q</m:t>
        </m:r>
        <m:r>
          <m:t>o</m:t>
        </m:r>
        <m:r>
          <m:t>n</m:t>
        </m:r>
        <m:r>
          <m:t>G</m:t>
        </m:r>
        <m:r>
          <m:t>E</m:t>
        </m:r>
        <m:r>
          <m:t>M</m:t>
        </m:r>
        <m:r>
          <m:t>63</m:t>
        </m:r>
        <m:r>
          <m:t>X</m:t>
        </m:r>
        <m:r>
          <m:t>L</m:t>
        </m:r>
        <m:r>
          <m:t>a</m:t>
        </m:r>
        <m:r>
          <m:t>f</m:t>
        </m:r>
        <m:r>
          <m:t>t</m:t>
        </m:r>
        <m:r>
          <m:t>e</m:t>
        </m:r>
        <m:r>
          <m:t>r</m:t>
        </m:r>
        <m:r>
          <m:t>a</m:t>
        </m:r>
        <m:r>
          <m:t>l</m:t>
        </m:r>
        <m:r>
          <m:t>a</m:t>
        </m:r>
        <m:r>
          <m:t>u</m:t>
        </m:r>
        <m:r>
          <m:t>n</m:t>
        </m:r>
        <m:r>
          <m:t>c</m:t>
        </m:r>
        <m:r>
          <m:t>h</m:t>
        </m:r>
        <m:r>
          <m:t>a</m:t>
        </m:r>
        <m:r>
          <m:t>n</m:t>
        </m:r>
        <m:r>
          <m:t>o</m:t>
        </m:r>
        <m:r>
          <m:t>m</m:t>
        </m:r>
        <m:r>
          <m:t>a</m:t>
        </m:r>
        <m:r>
          <m:t>l</m:t>
        </m:r>
        <m:r>
          <m:t>y</m:t>
        </m:r>
        <m:r>
          <m:rPr>
            <m:sty m:val="p"/>
          </m:rPr>
          <m:t>.</m:t>
        </m:r>
        <m:r>
          <m:t>M</m:t>
        </m:r>
        <m:r>
          <m:t>a</m:t>
        </m:r>
        <m:r>
          <m:t>n</m:t>
        </m:r>
        <m:r>
          <m:t>a</m:t>
        </m:r>
        <m:r>
          <m:t>g</m:t>
        </m:r>
        <m:r>
          <m:t>e</m:t>
        </m:r>
        <m:r>
          <m:t>m</m:t>
        </m:r>
        <m:r>
          <m:t>e</m:t>
        </m:r>
        <m:r>
          <m:t>n</m:t>
        </m:r>
        <m:r>
          <m:t>t</m:t>
        </m:r>
        <m:r>
          <m:t>s</m:t>
        </m:r>
        <m:r>
          <m:t>a</m:t>
        </m:r>
        <m:r>
          <m:t>i</m:t>
        </m:r>
        <m:r>
          <m:t>d</m:t>
        </m:r>
        <m:r>
          <m:t>i</m:t>
        </m:r>
        <m:r>
          <m:t>t</m:t>
        </m:r>
        <m:r>
          <m:t>r</m:t>
        </m:r>
        <m:r>
          <m:t>e</m:t>
        </m:r>
        <m:r>
          <m:t>v</m:t>
        </m:r>
        <m:r>
          <m:t>i</m:t>
        </m:r>
        <m:r>
          <m:t>e</m:t>
        </m:r>
        <m:r>
          <m:t>w</m:t>
        </m:r>
        <m:r>
          <m:t>e</m:t>
        </m:r>
        <m:r>
          <m:t>d</m:t>
        </m:r>
        <m:r>
          <m:t>t</m:t>
        </m:r>
        <m:r>
          <m:t>h</m:t>
        </m:r>
        <m:r>
          <m:t>e</m:t>
        </m:r>
        <m:r>
          <m:t>b</m:t>
        </m:r>
        <m:r>
          <m:t>r</m:t>
        </m:r>
        <m:r>
          <m:t>o</m:t>
        </m:r>
        <m:r>
          <m:t>a</m:t>
        </m:r>
        <m:r>
          <m:t>d</m:t>
        </m:r>
        <m:r>
          <m:t>e</m:t>
        </m:r>
        <m:r>
          <m:t>r</m:t>
        </m:r>
        <m:r>
          <m:t>p</m:t>
        </m:r>
        <m:r>
          <m:t>o</m:t>
        </m:r>
        <m:r>
          <m:t>r</m:t>
        </m:r>
        <m:r>
          <m:t>t</m:t>
        </m:r>
        <m:r>
          <m:t>f</m:t>
        </m:r>
        <m:r>
          <m:t>o</m:t>
        </m:r>
        <m:r>
          <m:t>l</m:t>
        </m:r>
        <m:r>
          <m:t>i</m:t>
        </m:r>
        <m:r>
          <m:t>o</m:t>
        </m:r>
        <m:r>
          <m:t>a</m:t>
        </m:r>
        <m:r>
          <m:t>n</m:t>
        </m:r>
        <m:r>
          <m:t>d</m:t>
        </m:r>
        <m:r>
          <m:t>d</m:t>
        </m:r>
        <m:r>
          <m:t>i</m:t>
        </m:r>
        <m:r>
          <m:t>d</m:t>
        </m:r>
        <m:r>
          <m:t>n</m:t>
        </m:r>
        <m:r>
          <m:t>o</m:t>
        </m:r>
        <m:r>
          <m:t>t</m:t>
        </m:r>
        <m:r>
          <m:t>i</m:t>
        </m:r>
        <m:r>
          <m:t>d</m:t>
        </m:r>
        <m:r>
          <m:t>e</m:t>
        </m:r>
        <m:r>
          <m:t>n</m:t>
        </m:r>
        <m:r>
          <m:t>t</m:t>
        </m:r>
        <m:r>
          <m:t>i</m:t>
        </m:r>
        <m:r>
          <m:t>f</m:t>
        </m:r>
        <m:r>
          <m:t>y</m:t>
        </m:r>
        <m:r>
          <m:t>a</m:t>
        </m:r>
        <m:r>
          <m:t>n</m:t>
        </m:r>
        <m:r>
          <m:t>o</m:t>
        </m:r>
        <m:r>
          <m:t>t</m:t>
        </m:r>
        <m:r>
          <m:t>h</m:t>
        </m:r>
        <m:r>
          <m:t>e</m:t>
        </m:r>
        <m:r>
          <m:t>r</m:t>
        </m:r>
        <m:r>
          <m:t>s</m:t>
        </m:r>
        <m:r>
          <m:t>i</m:t>
        </m:r>
        <m:r>
          <m:t>g</m:t>
        </m:r>
        <m:r>
          <m:t>n</m:t>
        </m:r>
        <m:r>
          <m:t>i</m:t>
        </m:r>
        <m:r>
          <m:t>f</m:t>
        </m:r>
        <m:r>
          <m:t>i</m:t>
        </m:r>
        <m:r>
          <m:t>c</m:t>
        </m:r>
        <m:r>
          <m:t>a</m:t>
        </m:r>
        <m:r>
          <m:t>n</m:t>
        </m:r>
        <m:r>
          <m:t>t</m:t>
        </m:r>
        <m:r>
          <m:t>E</m:t>
        </m:r>
        <m:r>
          <m:t>A</m:t>
        </m:r>
        <m:r>
          <m:t>C</m:t>
        </m:r>
        <m:r>
          <m:t>i</m:t>
        </m:r>
        <m:r>
          <m:t>s</m:t>
        </m:r>
        <m:r>
          <m:t>s</m:t>
        </m:r>
        <m:r>
          <m:t>u</m:t>
        </m:r>
        <m:r>
          <m:t>e</m:t>
        </m:r>
        <m:r>
          <m:rPr>
            <m:sty m:val="p"/>
          </m:rPr>
          <m:t>,</m:t>
        </m:r>
        <m:r>
          <m:t>w</m:t>
        </m:r>
        <m:r>
          <m:t>h</m:t>
        </m:r>
        <m:r>
          <m:t>i</m:t>
        </m:r>
        <m:r>
          <m:t>l</m:t>
        </m:r>
        <m:r>
          <m:t>e</m:t>
        </m:r>
        <m:r>
          <m:t>m</m:t>
        </m:r>
        <m:r>
          <m:t>a</m:t>
        </m:r>
        <m:r>
          <m:t>i</m:t>
        </m:r>
        <m:r>
          <m:t>n</m:t>
        </m:r>
        <m:r>
          <m:t>t</m:t>
        </m:r>
        <m:r>
          <m:t>a</m:t>
        </m:r>
        <m:r>
          <m:t>i</m:t>
        </m:r>
        <m:r>
          <m:t>n</m:t>
        </m:r>
        <m:r>
          <m:t>i</m:t>
        </m:r>
        <m:r>
          <m:t>n</m:t>
        </m:r>
        <m:r>
          <m:t>g</m:t>
        </m:r>
        <m:r>
          <m:t>i</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11B sales / 11% margin</w:t>
      </w:r>
      <w:r>
        <w:t xml:space="preserve"> </w:t>
      </w:r>
      <w:r>
        <w:t xml:space="preserve">guidance.</w:t>
      </w:r>
    </w:p>
    <w:p>
      <w:pPr>
        <w:pStyle w:val="BodyText"/>
      </w:pPr>
      <w:r>
        <w:t xml:space="preserve">For 2Q, investors should look for:</w:t>
      </w:r>
    </w:p>
    <w:p>
      <w:pPr>
        <w:pStyle w:val="Compact"/>
        <w:numPr>
          <w:ilvl w:val="0"/>
          <w:numId w:val="1006"/>
        </w:numPr>
      </w:pPr>
      <w:r>
        <w:t xml:space="preserve">no incremental GEM 63XL charge;</w:t>
      </w:r>
    </w:p>
    <w:p>
      <w:pPr>
        <w:pStyle w:val="Compact"/>
        <w:numPr>
          <w:ilvl w:val="0"/>
          <w:numId w:val="1006"/>
        </w:numPr>
      </w:pPr>
      <w:r>
        <w:t xml:space="preserve">stabilization in the Space margin rate;</w:t>
      </w:r>
    </w:p>
    <w:p>
      <w:pPr>
        <w:pStyle w:val="Compact"/>
        <w:numPr>
          <w:ilvl w:val="0"/>
          <w:numId w:val="1006"/>
        </w:numPr>
      </w:pPr>
      <w:r>
        <w:t xml:space="preserve">evidence that SDA Tranche 3 Tracking Layer and restricted-space awards are converting into volume;</w:t>
      </w:r>
    </w:p>
    <w:p>
      <w:pPr>
        <w:pStyle w:val="Compact"/>
        <w:numPr>
          <w:ilvl w:val="0"/>
          <w:numId w:val="1006"/>
        </w:numPr>
      </w:pPr>
      <w:r>
        <w:t xml:space="preserve">booking strength to support the longer-cycle space growth story.</w:t>
      </w:r>
    </w:p>
    <w:p>
      <w:pPr>
        <w:pStyle w:val="FirstParagraph"/>
      </w:pPr>
      <w:r>
        <w:t xml:space="preserve">Space generated a</w:t>
      </w:r>
      <w:r>
        <w:t xml:space="preserve"> </w:t>
      </w:r>
      <w:r>
        <w:rPr>
          <w:b/>
          <w:bCs/>
        </w:rPr>
        <w:t xml:space="preserve">10.6%</w:t>
      </w:r>
      <w:r>
        <w:t xml:space="preserve"> </w:t>
      </w:r>
      <w:r>
        <w:t xml:space="preserve">margin in 2Q25 despite a 12% sales decline. A return toward the 11% full-year margin guide would help establish that the first-quarter charge was isolated.</w:t>
      </w:r>
    </w:p>
    <w:bookmarkEnd w:id="15"/>
    <w:bookmarkStart w:id="16" w:name="X5f58f5111e5e73a5a1876018f128973e153e3cb"/>
    <w:p>
      <w:pPr>
        <w:pStyle w:val="Heading3"/>
      </w:pPr>
      <w:r>
        <w:t xml:space="preserve">5. Cash flow: do not overreact to the first-half pattern, but demand confirmation</w:t>
      </w:r>
    </w:p>
    <w:p>
      <w:pPr>
        <w:pStyle w:val="FirstParagraph"/>
      </w:pPr>
      <w:r>
        <w:t xml:space="preserve">NOC generated</w:t>
      </w:r>
      <w:r>
        <w:t xml:space="preserve"> </w:t>
      </w:r>
      <w:r>
        <w:rPr>
          <w:b/>
          <w:bCs/>
        </w:rPr>
        <w:t xml:space="preserve">negative</w:t>
      </w:r>
      <w:r>
        <w:rPr>
          <w:b/>
          <w:bCs/>
        </w:rPr>
        <w:t xml:space="preserve"> </w:t>
      </w:r>
      <m:oMath>
        <m:r>
          <m:t>1.82</m:t>
        </m:r>
        <m:r>
          <m:t>B</m:t>
        </m:r>
        <m:r>
          <m:rPr>
            <m:sty m:val="p"/>
          </m:rPr>
          <m:t>*</m:t>
        </m:r>
        <m:r>
          <m:rPr>
            <m:sty m:val="p"/>
          </m:rPr>
          <m:t>*</m:t>
        </m:r>
        <m:r>
          <m:t>o</m:t>
        </m:r>
        <m:r>
          <m:t>f</m:t>
        </m:r>
        <m:r>
          <m:t>f</m:t>
        </m:r>
        <m:r>
          <m:t>r</m:t>
        </m:r>
        <m:r>
          <m:t>e</m:t>
        </m:r>
        <m:r>
          <m:t>e</m:t>
        </m:r>
        <m:r>
          <m:t>c</m:t>
        </m:r>
        <m:r>
          <m:t>a</m:t>
        </m:r>
        <m:r>
          <m:t>s</m:t>
        </m:r>
        <m:r>
          <m:t>h</m:t>
        </m:r>
        <m:r>
          <m:t>f</m:t>
        </m:r>
        <m:r>
          <m:t>l</m:t>
        </m:r>
        <m:r>
          <m:t>o</m:t>
        </m:r>
        <m:r>
          <m:t>w</m:t>
        </m:r>
        <m:r>
          <m:t>i</m:t>
        </m:r>
        <m:r>
          <m:t>n</m:t>
        </m:r>
        <m:r>
          <m:t>1</m:t>
        </m:r>
        <m:r>
          <m:t>Q</m:t>
        </m:r>
        <m:r>
          <m:rPr>
            <m:sty m:val="p"/>
          </m:rPr>
          <m:t>,</m:t>
        </m:r>
        <m:r>
          <m:t>c</m:t>
        </m:r>
        <m:r>
          <m:t>o</m:t>
        </m:r>
        <m:r>
          <m:t>n</m:t>
        </m:r>
        <m:r>
          <m:t>s</m:t>
        </m:r>
        <m:r>
          <m:t>i</m:t>
        </m:r>
        <m:r>
          <m:t>s</m:t>
        </m:r>
        <m:r>
          <m:t>t</m:t>
        </m:r>
        <m:r>
          <m:t>e</m:t>
        </m:r>
        <m:r>
          <m:t>n</m:t>
        </m:r>
        <m:r>
          <m:t>t</m:t>
        </m:r>
        <m:r>
          <m:t>w</m:t>
        </m:r>
        <m:r>
          <m:t>i</m:t>
        </m:r>
        <m:r>
          <m:t>t</m:t>
        </m:r>
        <m:r>
          <m:t>h</m:t>
        </m:r>
        <m:r>
          <m:t>i</m:t>
        </m:r>
        <m:r>
          <m:t>t</m:t>
        </m:r>
        <m:r>
          <m:t>s</m:t>
        </m:r>
        <m:r>
          <m:t>h</m:t>
        </m:r>
        <m:r>
          <m:t>i</m:t>
        </m:r>
        <m:r>
          <m:t>s</m:t>
        </m:r>
        <m:r>
          <m:t>t</m:t>
        </m:r>
        <m:r>
          <m:t>o</m:t>
        </m:r>
        <m:r>
          <m:t>r</m:t>
        </m:r>
        <m:r>
          <m:t>i</m:t>
        </m:r>
        <m:r>
          <m:t>c</m:t>
        </m:r>
        <m:r>
          <m:t>a</m:t>
        </m:r>
        <m:r>
          <m:t>l</m:t>
        </m:r>
        <m:r>
          <m:t>l</m:t>
        </m:r>
        <m:r>
          <m:t>y</m:t>
        </m:r>
        <m:r>
          <m:t>b</m:t>
        </m:r>
        <m:r>
          <m:t>a</m:t>
        </m:r>
        <m:r>
          <m:t>c</m:t>
        </m:r>
        <m:r>
          <m:t>k</m:t>
        </m:r>
        <m:r>
          <m:rPr>
            <m:sty m:val="p"/>
          </m:rPr>
          <m:t>−</m:t>
        </m:r>
        <m:r>
          <m:t>e</m:t>
        </m:r>
        <m:r>
          <m:t>n</m:t>
        </m:r>
        <m:r>
          <m:t>d</m:t>
        </m:r>
        <m:r>
          <m:rPr>
            <m:sty m:val="p"/>
          </m:rPr>
          <m:t>−</m:t>
        </m:r>
        <m:r>
          <m:t>l</m:t>
        </m:r>
        <m:r>
          <m:t>o</m:t>
        </m:r>
        <m:r>
          <m:t>a</m:t>
        </m:r>
        <m:r>
          <m:t>d</m:t>
        </m:r>
        <m:r>
          <m:t>e</m:t>
        </m:r>
        <m:r>
          <m:t>d</m:t>
        </m:r>
        <m:r>
          <m:t>c</m:t>
        </m:r>
        <m:r>
          <m:t>a</m:t>
        </m:r>
        <m:r>
          <m:t>s</m:t>
        </m:r>
        <m:r>
          <m:t>h</m:t>
        </m:r>
        <m:r>
          <m:t>p</m:t>
        </m:r>
        <m:r>
          <m:t>r</m:t>
        </m:r>
        <m:r>
          <m:t>o</m:t>
        </m:r>
        <m:r>
          <m:t>f</m:t>
        </m:r>
        <m:r>
          <m:t>i</m:t>
        </m:r>
        <m:r>
          <m:t>l</m:t>
        </m:r>
        <m:r>
          <m:t>e</m:t>
        </m:r>
        <m:r>
          <m:rPr>
            <m:sty m:val="p"/>
          </m:rPr>
          <m:t>.</m:t>
        </m:r>
        <m:r>
          <m:t>M</m:t>
        </m:r>
        <m:r>
          <m:t>a</m:t>
        </m:r>
        <m:r>
          <m:t>n</m:t>
        </m:r>
        <m:r>
          <m:t>a</m:t>
        </m:r>
        <m:r>
          <m:t>g</m:t>
        </m:r>
        <m:r>
          <m:t>e</m:t>
        </m:r>
        <m:r>
          <m:t>m</m:t>
        </m:r>
        <m:r>
          <m:t>e</m:t>
        </m:r>
        <m:r>
          <m:t>n</m:t>
        </m:r>
        <m:r>
          <m:t>t</m:t>
        </m:r>
        <m:r>
          <m:t>r</m:t>
        </m:r>
        <m:r>
          <m:t>e</m:t>
        </m:r>
        <m:r>
          <m:t>a</m:t>
        </m:r>
        <m:r>
          <m:t>f</m:t>
        </m:r>
        <m:r>
          <m:t>f</m:t>
        </m:r>
        <m:r>
          <m:t>i</m:t>
        </m:r>
        <m:r>
          <m:t>r</m:t>
        </m:r>
        <m:r>
          <m:t>m</m:t>
        </m:r>
        <m:r>
          <m:t>e</m:t>
        </m:r>
        <m:r>
          <m:t>d</m:t>
        </m:r>
        <m:r>
          <m:rPr>
            <m:sty m:val="p"/>
          </m:rPr>
          <m:t>*</m:t>
        </m:r>
        <m:r>
          <m:rPr>
            <m:sty m:val="p"/>
          </m:rPr>
          <m:t>*</m:t>
        </m:r>
      </m:oMath>
      <w:r>
        <w:rPr>
          <w:b/>
          <w:bCs/>
        </w:rPr>
        <w:t xml:space="preserve">3.1B–</w:t>
      </w:r>
      <m:oMath>
        <m:r>
          <m:t>3.5</m:t>
        </m:r>
        <m:r>
          <m:t>B</m:t>
        </m:r>
        <m:r>
          <m:rPr>
            <m:sty m:val="p"/>
          </m:rPr>
          <m:t>*</m:t>
        </m:r>
        <m:r>
          <m:rPr>
            <m:sty m:val="p"/>
          </m:rPr>
          <m:t>*</m:t>
        </m:r>
        <m:r>
          <m:t>o</m:t>
        </m:r>
        <m:r>
          <m:t>f</m:t>
        </m:r>
        <m:r>
          <m:t>f</m:t>
        </m:r>
        <m:r>
          <m:t>u</m:t>
        </m:r>
        <m:r>
          <m:t>l</m:t>
        </m:r>
        <m:r>
          <m:t>l</m:t>
        </m:r>
        <m:r>
          <m:rPr>
            <m:sty m:val="p"/>
          </m:rPr>
          <m:t>−</m:t>
        </m:r>
        <m:r>
          <m:t>y</m:t>
        </m:r>
        <m:r>
          <m:t>e</m:t>
        </m:r>
        <m:r>
          <m:t>a</m:t>
        </m:r>
        <m:r>
          <m:t>r</m:t>
        </m:r>
        <m:r>
          <m:t>F</m:t>
        </m:r>
        <m:r>
          <m:t>C</m:t>
        </m:r>
        <m:r>
          <m:t>F</m:t>
        </m:r>
        <m:r>
          <m:t>d</m:t>
        </m:r>
        <m:r>
          <m:t>e</m:t>
        </m:r>
        <m:r>
          <m:t>s</m:t>
        </m:r>
        <m:r>
          <m:t>p</m:t>
        </m:r>
        <m:r>
          <m:t>i</m:t>
        </m:r>
        <m:r>
          <m:t>t</m:t>
        </m:r>
        <m:r>
          <m:t>e</m:t>
        </m:r>
        <m:r>
          <m:t>r</m:t>
        </m:r>
        <m:r>
          <m:t>a</m:t>
        </m:r>
        <m:r>
          <m:t>i</m:t>
        </m:r>
        <m:r>
          <m:t>s</m:t>
        </m:r>
        <m:r>
          <m:t>i</m:t>
        </m:r>
        <m:r>
          <m:t>n</m:t>
        </m:r>
        <m:r>
          <m:t>g</m:t>
        </m:r>
        <m:r>
          <m:t>p</m:t>
        </m:r>
        <m:r>
          <m:t>l</m:t>
        </m:r>
        <m:r>
          <m:t>a</m:t>
        </m:r>
        <m:r>
          <m:t>n</m:t>
        </m:r>
        <m:r>
          <m:t>n</m:t>
        </m:r>
        <m:r>
          <m:t>e</m:t>
        </m:r>
        <m:r>
          <m:t>d</m:t>
        </m:r>
        <m:r>
          <m:t>2026</m:t>
        </m:r>
        <m:r>
          <m:t>C</m:t>
        </m:r>
        <m:r>
          <m:t>a</m:t>
        </m:r>
        <m:r>
          <m:t>p</m:t>
        </m:r>
        <m:r>
          <m:t>E</m:t>
        </m:r>
        <m:r>
          <m:t>x</m:t>
        </m:r>
        <m:r>
          <m:t>t</m:t>
        </m:r>
        <m:r>
          <m:t>o</m:t>
        </m:r>
        <m:r>
          <m:rPr>
            <m:sty m:val="p"/>
          </m:rPr>
          <m:t>*</m:t>
        </m:r>
        <m:r>
          <m:rPr>
            <m:sty m:val="p"/>
          </m:rPr>
          <m:t>*</m:t>
        </m:r>
      </m:oMath>
      <w:r>
        <w:rPr>
          <w:b/>
          <w:bCs/>
        </w:rPr>
        <w:t xml:space="preserve">1.85B</w:t>
      </w:r>
      <w:r>
        <w:t xml:space="preserve">.</w:t>
      </w:r>
    </w:p>
    <w:p>
      <w:pPr>
        <w:pStyle w:val="BodyText"/>
      </w:pPr>
      <w:r>
        <w:t xml:space="preserve">The company has explicitly said that operating cash flow and CapEx are weighted toward the second half, especially the fourth quarter. Therefore, 2Q cash flow does not need to be exceptional. But investors will want evidence that:</w:t>
      </w:r>
    </w:p>
    <w:p>
      <w:pPr>
        <w:pStyle w:val="Compact"/>
        <w:numPr>
          <w:ilvl w:val="0"/>
          <w:numId w:val="1007"/>
        </w:numPr>
      </w:pPr>
      <w:r>
        <w:t xml:space="preserve">working-capital use is behaving as planned;</w:t>
      </w:r>
    </w:p>
    <w:p>
      <w:pPr>
        <w:pStyle w:val="Compact"/>
        <w:numPr>
          <w:ilvl w:val="0"/>
          <w:numId w:val="1007"/>
        </w:numPr>
      </w:pPr>
      <w:r>
        <w:t xml:space="preserve">customer cash timing and collections remain healthy;</w:t>
      </w:r>
    </w:p>
    <w:p>
      <w:pPr>
        <w:pStyle w:val="Compact"/>
        <w:numPr>
          <w:ilvl w:val="0"/>
          <w:numId w:val="1007"/>
        </w:numPr>
      </w:pPr>
      <w:r>
        <w:t xml:space="preserve">incremental B-21 investment is being offset as expected; and</w:t>
      </w:r>
    </w:p>
    <w:p>
      <w:pPr>
        <w:pStyle w:val="Compact"/>
        <w:numPr>
          <w:ilvl w:val="0"/>
          <w:numId w:val="1007"/>
        </w:numPr>
      </w:pPr>
      <w:r>
        <w:t xml:space="preserve">the full-year FCF range remains credible.</w:t>
      </w:r>
    </w:p>
    <w:p>
      <w:pPr>
        <w:pStyle w:val="FirstParagraph"/>
      </w:pPr>
      <w:r>
        <w:t xml:space="preserve">A reaffirmation of cash guidance should be viewed positively. Any reduction would likely matter more than a small EPS variance because it would challenge the investment-and-return balance of the B-21 expansion.</w:t>
      </w:r>
    </w:p>
    <w:p>
      <w:r>
        <w:pict>
          <v:rect style="width:0;height:1.5pt" o:hralign="center" o:hrstd="t" o:hr="t"/>
        </w:pict>
      </w:r>
    </w:p>
    <w:bookmarkEnd w:id="16"/>
    <w:bookmarkEnd w:id="17"/>
    <w:bookmarkStart w:id="18" w:name="X77fc216602ec231a1298f54aa8ee3270ceecd37"/>
    <w:p>
      <w:pPr>
        <w:pStyle w:val="Heading2"/>
      </w:pPr>
      <w:r>
        <w:t xml:space="preserve">Backlog and bookings: the durable demand proof point</w:t>
      </w:r>
    </w:p>
    <w:p>
      <w:pPr>
        <w:pStyle w:val="FirstParagraph"/>
      </w:pPr>
      <w:r>
        <w:t xml:space="preserve">NOC ended 1Q with</w:t>
      </w:r>
      <w:r>
        <w:t xml:space="preserve"> </w:t>
      </w:r>
      <m:oMath>
        <m:r>
          <m:t>95.6</m:t>
        </m:r>
        <m:r>
          <m:t>B</m:t>
        </m:r>
        <m:r>
          <m:rPr>
            <m:sty m:val="p"/>
          </m:rPr>
          <m:t>*</m:t>
        </m:r>
        <m:r>
          <m:rPr>
            <m:sty m:val="p"/>
          </m:rPr>
          <m:t>*</m:t>
        </m:r>
        <m:r>
          <m:t>o</m:t>
        </m:r>
        <m:r>
          <m:t>f</m:t>
        </m:r>
        <m:r>
          <m:t>b</m:t>
        </m:r>
        <m:r>
          <m:t>a</m:t>
        </m:r>
        <m:r>
          <m:t>c</m:t>
        </m:r>
        <m:r>
          <m:t>k</m:t>
        </m:r>
        <m:r>
          <m:t>l</m:t>
        </m:r>
        <m:r>
          <m:t>o</m:t>
        </m:r>
        <m:r>
          <m:t>g</m:t>
        </m:r>
        <m:r>
          <m:rPr>
            <m:sty m:val="p"/>
          </m:rPr>
          <m:t>,</m:t>
        </m:r>
        <m:r>
          <m:t>e</m:t>
        </m:r>
        <m:r>
          <m:t>s</m:t>
        </m:r>
        <m:r>
          <m:t>s</m:t>
        </m:r>
        <m:r>
          <m:t>e</m:t>
        </m:r>
        <m:r>
          <m:t>n</m:t>
        </m:r>
        <m:r>
          <m:t>t</m:t>
        </m:r>
        <m:r>
          <m:t>i</m:t>
        </m:r>
        <m:r>
          <m:t>a</m:t>
        </m:r>
        <m:r>
          <m:t>l</m:t>
        </m:r>
        <m:r>
          <m:t>l</m:t>
        </m:r>
        <m:r>
          <m:t>y</m:t>
        </m:r>
        <m:r>
          <m:t>f</m:t>
        </m:r>
        <m:r>
          <m:t>l</m:t>
        </m:r>
        <m:r>
          <m:t>a</m:t>
        </m:r>
        <m:r>
          <m:t>t</m:t>
        </m:r>
        <m:r>
          <m:t>s</m:t>
        </m:r>
        <m:r>
          <m:t>e</m:t>
        </m:r>
        <m:r>
          <m:t>q</m:t>
        </m:r>
        <m:r>
          <m:t>u</m:t>
        </m:r>
        <m:r>
          <m:t>e</m:t>
        </m:r>
        <m:r>
          <m:t>n</m:t>
        </m:r>
        <m:r>
          <m:t>t</m:t>
        </m:r>
        <m:r>
          <m:t>i</m:t>
        </m:r>
        <m:r>
          <m:t>a</m:t>
        </m:r>
        <m:r>
          <m:t>l</m:t>
        </m:r>
        <m:r>
          <m:t>l</m:t>
        </m:r>
        <m:r>
          <m:t>y</m:t>
        </m:r>
        <m:r>
          <m:t>b</m:t>
        </m:r>
        <m:r>
          <m:t>u</m:t>
        </m:r>
        <m:r>
          <m:t>t</m:t>
        </m:r>
        <m:r>
          <m:t>n</m:t>
        </m:r>
        <m:r>
          <m:t>e</m:t>
        </m:r>
        <m:r>
          <m:t>a</m:t>
        </m:r>
        <m:r>
          <m:t>r</m:t>
        </m:r>
        <m:r>
          <m:t>a</m:t>
        </m:r>
        <m:r>
          <m:t>c</m:t>
        </m:r>
        <m:r>
          <m:t>o</m:t>
        </m:r>
        <m:r>
          <m:t>m</m:t>
        </m:r>
        <m:r>
          <m:t>p</m:t>
        </m:r>
        <m:r>
          <m:t>a</m:t>
        </m:r>
        <m:r>
          <m:t>n</m:t>
        </m:r>
        <m:r>
          <m:t>y</m:t>
        </m:r>
        <m:r>
          <m:t>r</m:t>
        </m:r>
        <m:r>
          <m:t>e</m:t>
        </m:r>
        <m:r>
          <m:t>c</m:t>
        </m:r>
        <m:r>
          <m:t>o</m:t>
        </m:r>
        <m:r>
          <m:t>r</m:t>
        </m:r>
        <m:r>
          <m:t>d</m:t>
        </m:r>
        <m:r>
          <m:rPr>
            <m:sty m:val="p"/>
          </m:rPr>
          <m:t>,</m:t>
        </m:r>
        <m:r>
          <m:t>a</m:t>
        </m:r>
        <m:r>
          <m:t>f</m:t>
        </m:r>
        <m:r>
          <m:t>t</m:t>
        </m:r>
        <m:r>
          <m:t>e</m:t>
        </m:r>
        <m:r>
          <m:t>r</m:t>
        </m:r>
        <m:r>
          <m:rPr>
            <m:sty m:val="p"/>
          </m:rPr>
          <m:t>*</m:t>
        </m:r>
        <m:r>
          <m:rPr>
            <m:sty m:val="p"/>
          </m:rPr>
          <m:t>*</m:t>
        </m:r>
      </m:oMath>
      <w:r>
        <w:rPr>
          <w:b/>
          <w:bCs/>
        </w:rPr>
        <w:t xml:space="preserve">9.8B</w:t>
      </w:r>
      <w:r>
        <w:t xml:space="preserve"> </w:t>
      </w:r>
      <w:r>
        <w:t xml:space="preserve">of awards. The quarter included $4.9B of restricted-program awards, plus awards for F-35, infrared countermeasures, and Triton.</w:t>
      </w:r>
    </w:p>
    <w:p>
      <w:pPr>
        <w:pStyle w:val="BodyText"/>
      </w:pPr>
      <w:r>
        <w:t xml:space="preserve">The bar for 2Q is not necessarily a dramatic backlog increase; classified programs, timing of awards, and large contracts can make quarterly book-to-bill lumpy. Still, investors should seek:</w:t>
      </w:r>
    </w:p>
    <w:p>
      <w:pPr>
        <w:pStyle w:val="Compact"/>
        <w:numPr>
          <w:ilvl w:val="0"/>
          <w:numId w:val="1008"/>
        </w:numPr>
      </w:pPr>
      <w:r>
        <w:t xml:space="preserve">book-to-bill at or above 1x over time;</w:t>
      </w:r>
    </w:p>
    <w:p>
      <w:pPr>
        <w:pStyle w:val="Compact"/>
        <w:numPr>
          <w:ilvl w:val="0"/>
          <w:numId w:val="1008"/>
        </w:numPr>
      </w:pPr>
      <w:r>
        <w:t xml:space="preserve">continued conversion of U.S. defense funding into awards;</w:t>
      </w:r>
    </w:p>
    <w:p>
      <w:pPr>
        <w:pStyle w:val="Compact"/>
        <w:numPr>
          <w:ilvl w:val="0"/>
          <w:numId w:val="1008"/>
        </w:numPr>
      </w:pPr>
      <w:r>
        <w:t xml:space="preserve">updates on international demand, particularly missile defense, counter-UAS, radar, and command-and-control systems;</w:t>
      </w:r>
    </w:p>
    <w:p>
      <w:pPr>
        <w:pStyle w:val="Compact"/>
        <w:numPr>
          <w:ilvl w:val="0"/>
          <w:numId w:val="1008"/>
        </w:numPr>
      </w:pPr>
      <w:r>
        <w:t xml:space="preserve">commentary on large pending opportunities, including F/A-XX and broader missile-defense initiatives.</w:t>
      </w:r>
    </w:p>
    <w:p>
      <w:pPr>
        <w:pStyle w:val="FirstParagraph"/>
      </w:pPr>
      <w:r>
        <w:t xml:space="preserve">The strategic demand picture remains compelling. The near-term risk is not demand scarcity, but rather</w:t>
      </w:r>
      <w:r>
        <w:t xml:space="preserve"> </w:t>
      </w:r>
      <w:r>
        <w:rPr>
          <w:b/>
          <w:bCs/>
        </w:rPr>
        <w:t xml:space="preserve">the speed of contracting, supply-chain scaling, labor availability, and execution on high-consequence development and production programs</w:t>
      </w:r>
      <w:r>
        <w:t xml:space="preserve">.</w:t>
      </w:r>
    </w:p>
    <w:p>
      <w:r>
        <w:pict>
          <v:rect style="width:0;height:1.5pt" o:hralign="center" o:hrstd="t" o:hr="t"/>
        </w:pict>
      </w:r>
    </w:p>
    <w:bookmarkEnd w:id="18"/>
    <w:bookmarkStart w:id="22" w:name="bull-base-and-bear-read-throughs"/>
    <w:p>
      <w:pPr>
        <w:pStyle w:val="Heading2"/>
      </w:pPr>
      <w:r>
        <w:t xml:space="preserve">Bull, base, and bear read-throughs</w:t>
      </w:r>
    </w:p>
    <w:bookmarkStart w:id="19" w:name="bull-case"/>
    <w:p>
      <w:pPr>
        <w:pStyle w:val="Heading3"/>
      </w:pPr>
      <w:r>
        <w:t xml:space="preserve">Bull case</w:t>
      </w:r>
    </w:p>
    <w:p>
      <w:pPr>
        <w:pStyle w:val="Compact"/>
        <w:numPr>
          <w:ilvl w:val="0"/>
          <w:numId w:val="1009"/>
        </w:numPr>
      </w:pPr>
      <w:r>
        <w:t xml:space="preserve">Revenue meets or exceeds ~$10.8B, validating the anticipated high-single-digit sequential step-up.</w:t>
      </w:r>
    </w:p>
    <w:p>
      <w:pPr>
        <w:pStyle w:val="Compact"/>
        <w:numPr>
          <w:ilvl w:val="0"/>
          <w:numId w:val="1009"/>
        </w:numPr>
      </w:pPr>
      <w:r>
        <w:t xml:space="preserve">All 2026 guidance is reaffirmed or raised.</w:t>
      </w:r>
    </w:p>
    <w:p>
      <w:pPr>
        <w:pStyle w:val="Compact"/>
        <w:numPr>
          <w:ilvl w:val="0"/>
          <w:numId w:val="1009"/>
        </w:numPr>
      </w:pPr>
      <w:r>
        <w:t xml:space="preserve">B-21 economics improve with no new charge; capacity milestones remain on track.</w:t>
      </w:r>
    </w:p>
    <w:p>
      <w:pPr>
        <w:pStyle w:val="Compact"/>
        <w:numPr>
          <w:ilvl w:val="0"/>
          <w:numId w:val="1009"/>
        </w:numPr>
      </w:pPr>
      <w:r>
        <w:t xml:space="preserve">Space absorbs the 1Q GEM issue without a follow-on charge.</w:t>
      </w:r>
    </w:p>
    <w:p>
      <w:pPr>
        <w:pStyle w:val="Compact"/>
        <w:numPr>
          <w:ilvl w:val="0"/>
          <w:numId w:val="1009"/>
        </w:numPr>
      </w:pPr>
      <w:r>
        <w:t xml:space="preserve">Bookings/backlog demonstrate that munitions, Sentinel, missile defense, and classified demand are moving into funded work.</w:t>
      </w:r>
    </w:p>
    <w:p>
      <w:pPr>
        <w:pStyle w:val="Compact"/>
        <w:numPr>
          <w:ilvl w:val="0"/>
          <w:numId w:val="1009"/>
        </w:numPr>
      </w:pPr>
      <w:r>
        <w:t xml:space="preserve">Management gives more confidence that growth can exceed the current mid-single-digit plan over the next several years.</w:t>
      </w:r>
    </w:p>
    <w:bookmarkEnd w:id="19"/>
    <w:bookmarkStart w:id="20" w:name="base-case"/>
    <w:p>
      <w:pPr>
        <w:pStyle w:val="Heading3"/>
      </w:pPr>
      <w:r>
        <w:t xml:space="preserve">Base case</w:t>
      </w:r>
    </w:p>
    <w:p>
      <w:pPr>
        <w:pStyle w:val="Compact"/>
        <w:numPr>
          <w:ilvl w:val="0"/>
          <w:numId w:val="1010"/>
        </w:numPr>
      </w:pPr>
      <w:r>
        <w:t xml:space="preserve">Revenue and EPS are broadly in line.</w:t>
      </w:r>
    </w:p>
    <w:p>
      <w:pPr>
        <w:pStyle w:val="Compact"/>
        <w:numPr>
          <w:ilvl w:val="0"/>
          <w:numId w:val="1010"/>
        </w:numPr>
      </w:pPr>
      <w:r>
        <w:t xml:space="preserve">2026 guidance is reaffirmed.</w:t>
      </w:r>
    </w:p>
    <w:p>
      <w:pPr>
        <w:pStyle w:val="Compact"/>
        <w:numPr>
          <w:ilvl w:val="0"/>
          <w:numId w:val="1010"/>
        </w:numPr>
      </w:pPr>
      <w:r>
        <w:t xml:space="preserve">Defense and Mission Systems perform well; Aeronautics is steady; Space remains mixed.</w:t>
      </w:r>
    </w:p>
    <w:p>
      <w:pPr>
        <w:pStyle w:val="Compact"/>
        <w:numPr>
          <w:ilvl w:val="0"/>
          <w:numId w:val="1010"/>
        </w:numPr>
      </w:pPr>
      <w:r>
        <w:t xml:space="preserve">Cash commentary maintains the familiar “second-half weighted” framework.</w:t>
      </w:r>
    </w:p>
    <w:p>
      <w:pPr>
        <w:pStyle w:val="Compact"/>
        <w:numPr>
          <w:ilvl w:val="0"/>
          <w:numId w:val="1010"/>
        </w:numPr>
      </w:pPr>
      <w:r>
        <w:t xml:space="preserve">The stock response depends more on qualitative program and backlog commentary than on the headline numbers.</w:t>
      </w:r>
    </w:p>
    <w:bookmarkEnd w:id="20"/>
    <w:bookmarkStart w:id="21" w:name="bear-case"/>
    <w:p>
      <w:pPr>
        <w:pStyle w:val="Heading3"/>
      </w:pPr>
      <w:r>
        <w:t xml:space="preserve">Bear case</w:t>
      </w:r>
    </w:p>
    <w:p>
      <w:pPr>
        <w:pStyle w:val="Compact"/>
        <w:numPr>
          <w:ilvl w:val="0"/>
          <w:numId w:val="1011"/>
        </w:numPr>
      </w:pPr>
      <w:r>
        <w:t xml:space="preserve">Revenue misses the sequential-growth setup or guidance is merely maintained with more cautious language.</w:t>
      </w:r>
    </w:p>
    <w:p>
      <w:pPr>
        <w:pStyle w:val="Compact"/>
        <w:numPr>
          <w:ilvl w:val="0"/>
          <w:numId w:val="1011"/>
        </w:numPr>
      </w:pPr>
      <w:r>
        <w:t xml:space="preserve">Another B-21 or Space EAC charge emerges.</w:t>
      </w:r>
    </w:p>
    <w:p>
      <w:pPr>
        <w:pStyle w:val="Compact"/>
        <w:numPr>
          <w:ilvl w:val="0"/>
          <w:numId w:val="1011"/>
        </w:numPr>
      </w:pPr>
      <w:r>
        <w:t xml:space="preserve">Segment margins weaken materially, especially in Mission Systems or Space.</w:t>
      </w:r>
    </w:p>
    <w:p>
      <w:pPr>
        <w:pStyle w:val="Compact"/>
        <w:numPr>
          <w:ilvl w:val="0"/>
          <w:numId w:val="1011"/>
        </w:numPr>
      </w:pPr>
      <w:r>
        <w:t xml:space="preserve">Free-cash-flow guidance comes under pressure from working capital or B-21 capacity spending.</w:t>
      </w:r>
    </w:p>
    <w:p>
      <w:pPr>
        <w:pStyle w:val="Compact"/>
        <w:numPr>
          <w:ilvl w:val="0"/>
          <w:numId w:val="1011"/>
        </w:numPr>
      </w:pPr>
      <w:r>
        <w:t xml:space="preserve">Management signals that customer funding, export approvals, suppliers, or labor are delaying the conversion of demand into sales.</w:t>
      </w:r>
    </w:p>
    <w:p>
      <w:r>
        <w:pict>
          <v:rect style="width:0;height:1.5pt" o:hralign="center" o:hrstd="t" o:hr="t"/>
        </w:pict>
      </w:r>
    </w:p>
    <w:bookmarkEnd w:id="21"/>
    <w:bookmarkEnd w:id="22"/>
    <w:bookmarkStart w:id="24" w:name="bottom-line"/>
    <w:p>
      <w:pPr>
        <w:pStyle w:val="Heading2"/>
      </w:pPr>
      <w:r>
        <w:t xml:space="preserve">Bottom line</w:t>
      </w:r>
    </w:p>
    <w:p>
      <w:pPr>
        <w:pStyle w:val="FirstParagraph"/>
      </w:pPr>
      <w:r>
        <w:t xml:space="preserve">NOC’s 2Q report should be evaluated as a</w:t>
      </w:r>
      <w:r>
        <w:t xml:space="preserve"> </w:t>
      </w:r>
      <w:r>
        <w:rPr>
          <w:b/>
          <w:bCs/>
        </w:rPr>
        <w:t xml:space="preserve">proof-of-execution quarter</w:t>
      </w:r>
      <w:r>
        <w:t xml:space="preserve">. The strategic case—an unusually strong defense-demand environment and a portfolio exposed to the highest-priority U.S. and allied capabilities—is intact. But the stock needs confirmation that Northrop can translate that demand into accelerating revenue, stable program economics, and cash flow while funding a major B-21 industrial expansion.</w:t>
      </w:r>
    </w:p>
    <w:p>
      <w:pPr>
        <w:pStyle w:val="BodyText"/>
      </w:pPr>
      <w:r>
        <w:t xml:space="preserve">The most important combination for investors would be:</w:t>
      </w:r>
    </w:p>
    <w:p>
      <w:pPr>
        <w:pStyle w:val="BlockText"/>
      </w:pPr>
      <w:r>
        <w:rPr>
          <w:b/>
          <w:bCs/>
        </w:rPr>
        <w:t xml:space="preserve">~$10.8B or better revenue, clean B-21 and GEM 63XL execution, sustained Mission Systems profitability, healthy bookings, and an unambiguous reaffirmation of 2026 sales, margin, EPS, and FCF guidance.</w:t>
      </w:r>
    </w:p>
    <w:bookmarkStart w:id="23" w:name="sources-reviewed"/>
    <w:p>
      <w:pPr>
        <w:pStyle w:val="Heading3"/>
      </w:pPr>
      <w:r>
        <w:t xml:space="preserve">Sources reviewed</w:t>
      </w:r>
    </w:p>
    <w:p>
      <w:pPr>
        <w:pStyle w:val="Compact"/>
        <w:numPr>
          <w:ilvl w:val="0"/>
          <w:numId w:val="1012"/>
        </w:numPr>
      </w:pPr>
      <w:r>
        <w:t xml:space="preserve">Northrop Grumman 1Q26 earnings release and earnings-call transcript</w:t>
      </w:r>
    </w:p>
    <w:p>
      <w:pPr>
        <w:pStyle w:val="Compact"/>
        <w:numPr>
          <w:ilvl w:val="0"/>
          <w:numId w:val="1012"/>
        </w:numPr>
      </w:pPr>
      <w:r>
        <w:t xml:space="preserve">Northrop Grumman 2Q25 and FY25 earnings releases</w:t>
      </w:r>
    </w:p>
    <w:p>
      <w:pPr>
        <w:pStyle w:val="Compact"/>
        <w:numPr>
          <w:ilvl w:val="0"/>
          <w:numId w:val="1012"/>
        </w:numPr>
      </w:pPr>
      <w:r>
        <w:t xml:space="preserve">Northrop Grumman’s June 18, 2026 earnings-date announcement</w:t>
      </w:r>
    </w:p>
    <w:p>
      <w:pPr>
        <w:pStyle w:val="Compact"/>
        <w:numPr>
          <w:ilvl w:val="0"/>
          <w:numId w:val="1012"/>
        </w:numPr>
      </w:pPr>
      <w:r>
        <w:t xml:space="preserve">Recent market-data and earnings-expectation digest</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2026-07-21T00:44:34Z</dcterms:created>
  <dcterms:modified xsi:type="dcterms:W3CDTF">2026-07-21T00:44:34Z</dcterms:modified>
</cp:coreProperties>
</file>

<file path=docProps/custom.xml><?xml version="1.0" encoding="utf-8"?>
<Properties xmlns="http://schemas.openxmlformats.org/officeDocument/2006/custom-properties" xmlns:vt="http://schemas.openxmlformats.org/officeDocument/2006/docPropsVTypes"/>
</file>