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servicenow-now--q2-2026-earnings-preview"/>
    <w:p>
      <w:pPr>
        <w:pStyle w:val="Heading1"/>
      </w:pPr>
      <w:r>
        <w:t xml:space="preserve">ServiceNow (NOW) — Q2 2026 Earnings Preview</w:t>
      </w:r>
    </w:p>
    <w:p>
      <w:pPr>
        <w:pStyle w:val="FirstParagraph"/>
      </w:pPr>
      <w:r>
        <w:rPr>
          <w:b/>
          <w:bCs/>
        </w:rPr>
        <w:t xml:space="preserve">Report Date:</w:t>
      </w:r>
      <w:r>
        <w:t xml:space="preserve"> </w:t>
      </w:r>
      <w:r>
        <w:t xml:space="preserve">Wednesday, July 22,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X2fb776e4c0525a9b958ab2715e2ba374df4a742"/>
    <w:p>
      <w:pPr>
        <w:pStyle w:val="Heading2"/>
      </w:pPr>
      <w:r>
        <w:t xml:space="preserve">1. Setup: A Volatile Stock Walking Into Print</w:t>
      </w:r>
    </w:p>
    <w:p>
      <w:pPr>
        <w:pStyle w:val="FirstParagraph"/>
      </w:pPr>
      <w:r>
        <w:t xml:space="preserve">ServiceNow shares have been on a wild ride in 2026. After the Q1 print on April 22, the stock actually</w:t>
      </w:r>
      <w:r>
        <w:t xml:space="preserve"> </w:t>
      </w:r>
      <w:r>
        <w:rPr>
          <w:b/>
          <w:bCs/>
        </w:rPr>
        <w:t xml:space="preserve">fell</w:t>
      </w:r>
      <w:r>
        <w:t xml:space="preserve"> </w:t>
      </w:r>
      <w:r>
        <w:t xml:space="preserve">despite what looked like a clean beat, prompting Morgan Stanley's Keith Weiss to note bluntly on the call that "the stock is down 12% after hours" because investors were unsure how much of the beat was organic versus acquisition-driven, and were looking for clearer signs of AI-driven revenue acceleration. The stock then staged a sharp rally into the May 4 Financial Analyst Day (peaking near</w:t>
      </w:r>
      <w:r>
        <w:t xml:space="preserve"> </w:t>
      </w:r>
      <m:oMath>
        <m:r>
          <m:t>135</m:t>
        </m:r>
        <m:r>
          <m:t>i</m:t>
        </m:r>
        <m:r>
          <m:t>n</m:t>
        </m:r>
        <m:r>
          <m:t>e</m:t>
        </m:r>
        <m:r>
          <m:t>a</m:t>
        </m:r>
        <m:r>
          <m:t>r</m:t>
        </m:r>
        <m:r>
          <m:t>l</m:t>
        </m:r>
        <m:r>
          <m:t>y</m:t>
        </m:r>
        <m:r>
          <m:t>J</m:t>
        </m:r>
        <m:r>
          <m:t>u</m:t>
        </m:r>
        <m:r>
          <m:t>n</m:t>
        </m:r>
        <m:r>
          <m:t>e</m:t>
        </m:r>
        <m:r>
          <m:rPr>
            <m:sty m:val="p"/>
          </m:rPr>
          <m:t>)</m:t>
        </m:r>
        <m:r>
          <m:t>b</m:t>
        </m:r>
        <m:r>
          <m:t>e</m:t>
        </m:r>
        <m:r>
          <m:t>f</m:t>
        </m:r>
        <m:r>
          <m:t>o</m:t>
        </m:r>
        <m:r>
          <m:t>r</m:t>
        </m:r>
        <m:r>
          <m:t>e</m:t>
        </m:r>
        <m:r>
          <m:t>r</m:t>
        </m:r>
        <m:r>
          <m:t>o</m:t>
        </m:r>
        <m:r>
          <m:t>l</m:t>
        </m:r>
        <m:r>
          <m:t>l</m:t>
        </m:r>
        <m:r>
          <m:t>i</m:t>
        </m:r>
        <m:r>
          <m:t>n</m:t>
        </m:r>
        <m:r>
          <m:t>g</m:t>
        </m:r>
        <m:r>
          <m:t>o</m:t>
        </m:r>
        <m:r>
          <m:t>v</m:t>
        </m:r>
        <m:r>
          <m:t>e</m:t>
        </m:r>
        <m:r>
          <m:t>r</m:t>
        </m:r>
        <m:r>
          <m:t>a</m:t>
        </m:r>
        <m:r>
          <m:t>g</m:t>
        </m:r>
        <m:r>
          <m:t>a</m:t>
        </m:r>
        <m:r>
          <m:t>i</m:t>
        </m:r>
        <m:r>
          <m:t>n</m:t>
        </m:r>
        <m:r>
          <m:t>t</m:t>
        </m:r>
        <m:r>
          <m:t>h</m:t>
        </m:r>
        <m:r>
          <m:t>r</m:t>
        </m:r>
        <m:r>
          <m:t>o</m:t>
        </m:r>
        <m:r>
          <m:t>u</m:t>
        </m:r>
        <m:r>
          <m:t>g</m:t>
        </m:r>
        <m:r>
          <m:t>h</m:t>
        </m:r>
        <m:r>
          <m:t>J</m:t>
        </m:r>
        <m:r>
          <m:t>u</m:t>
        </m:r>
        <m:r>
          <m:t>n</m:t>
        </m:r>
        <m:r>
          <m:t>e</m:t>
        </m:r>
        <m:r>
          <m:t>a</m:t>
        </m:r>
        <m:r>
          <m:t>n</m:t>
        </m:r>
        <m:r>
          <m:t>d</m:t>
        </m:r>
        <m:r>
          <m:t>J</m:t>
        </m:r>
        <m:r>
          <m:t>u</m:t>
        </m:r>
        <m:r>
          <m:t>l</m:t>
        </m:r>
        <m:r>
          <m:t>y</m:t>
        </m:r>
        <m:r>
          <m:t>a</m:t>
        </m:r>
        <m:r>
          <m:t>l</m:t>
        </m:r>
        <m:r>
          <m:t>o</m:t>
        </m:r>
        <m:r>
          <m:t>n</m:t>
        </m:r>
        <m:r>
          <m:t>g</m:t>
        </m:r>
        <m:r>
          <m:t>s</m:t>
        </m:r>
        <m:r>
          <m:t>i</m:t>
        </m:r>
        <m:r>
          <m:t>d</m:t>
        </m:r>
        <m:r>
          <m:t>e</m:t>
        </m:r>
        <m:r>
          <m:t>b</m:t>
        </m:r>
        <m:r>
          <m:t>r</m:t>
        </m:r>
        <m:r>
          <m:t>o</m:t>
        </m:r>
        <m:r>
          <m:t>a</m:t>
        </m:r>
        <m:r>
          <m:t>d</m:t>
        </m:r>
        <m:r>
          <m:t>e</m:t>
        </m:r>
        <m:r>
          <m:t>r</m:t>
        </m:r>
        <m:r>
          <m:t>s</m:t>
        </m:r>
        <m:r>
          <m:t>o</m:t>
        </m:r>
        <m:r>
          <m:t>f</m:t>
        </m:r>
        <m:r>
          <m:t>t</m:t>
        </m:r>
        <m:r>
          <m:t>w</m:t>
        </m:r>
        <m:r>
          <m:t>a</m:t>
        </m:r>
        <m:r>
          <m:t>r</m:t>
        </m:r>
        <m:r>
          <m:t>e</m:t>
        </m:r>
        <m:r>
          <m:rPr>
            <m:sty m:val="p"/>
          </m:rPr>
          <m:t>−</m:t>
        </m:r>
        <m:r>
          <m:t>s</m:t>
        </m:r>
        <m:r>
          <m:t>e</m:t>
        </m:r>
        <m:r>
          <m:t>c</m:t>
        </m:r>
        <m:r>
          <m:t>t</m:t>
        </m:r>
        <m:r>
          <m:t>o</m:t>
        </m:r>
        <m:r>
          <m:t>r</m:t>
        </m:r>
        <m:r>
          <m:t>w</m:t>
        </m:r>
        <m:r>
          <m:t>e</m:t>
        </m:r>
        <m:r>
          <m:t>a</m:t>
        </m:r>
        <m:r>
          <m:t>k</m:t>
        </m:r>
        <m:r>
          <m:t>n</m:t>
        </m:r>
        <m:r>
          <m:t>e</m:t>
        </m:r>
        <m:r>
          <m:t>s</m:t>
        </m:r>
        <m:r>
          <m:t>s</m:t>
        </m:r>
        <m:r>
          <m:rPr>
            <m:sty m:val="p"/>
          </m:rPr>
          <m:t>.</m:t>
        </m:r>
        <m:r>
          <m:t>S</m:t>
        </m:r>
        <m:r>
          <m:t>h</m:t>
        </m:r>
        <m:r>
          <m:t>a</m:t>
        </m:r>
        <m:r>
          <m:t>r</m:t>
        </m:r>
        <m:r>
          <m:t>e</m:t>
        </m:r>
        <m:r>
          <m:t>s</m:t>
        </m:r>
        <m:r>
          <m:t>a</m:t>
        </m:r>
        <m:r>
          <m:t>r</m:t>
        </m:r>
        <m:r>
          <m:t>e</m:t>
        </m:r>
        <m:r>
          <m:t>t</m:t>
        </m:r>
        <m:r>
          <m:t>r</m:t>
        </m:r>
        <m:r>
          <m:t>a</m:t>
        </m:r>
        <m:r>
          <m:t>d</m:t>
        </m:r>
        <m:r>
          <m:t>i</m:t>
        </m:r>
        <m:r>
          <m:t>n</m:t>
        </m:r>
        <m:r>
          <m:t>g</m:t>
        </m:r>
        <m:r>
          <m:t>i</m:t>
        </m:r>
        <m:r>
          <m:t>n</m:t>
        </m:r>
        <m:r>
          <m:t>t</m:t>
        </m:r>
        <m:r>
          <m:t>h</m:t>
        </m:r>
        <m:r>
          <m:t>e</m:t>
        </m:r>
        <m:r>
          <m:t>l</m:t>
        </m:r>
        <m:r>
          <m:t>o</m:t>
        </m:r>
        <m:r>
          <m:t>w</m:t>
        </m:r>
        <m:r>
          <m:rPr>
            <m:sty m:val="p"/>
          </m:rPr>
          <m:t>−</m:t>
        </m:r>
      </m:oMath>
      <w:r>
        <w:t xml:space="preserve">100s heading into tomorrow's print, and by most accounts are down roughly a third year-to-date.</w:t>
      </w:r>
    </w:p>
    <w:p>
      <w:pPr>
        <w:pStyle w:val="BodyText"/>
      </w:pPr>
      <w:r>
        <w:t xml:space="preserve">The single biggest overhang right now isn't company-specific — it's</w:t>
      </w:r>
      <w:r>
        <w:t xml:space="preserve"> </w:t>
      </w:r>
      <w:r>
        <w:rPr>
          <w:b/>
          <w:bCs/>
        </w:rPr>
        <w:t xml:space="preserve">IBM's shocking July 14 pre-announcement</w:t>
      </w:r>
      <w:r>
        <w:t xml:space="preserve">, in which the stock plummeted 26% on Tuesday, marking the stock's largest single-day drop since 1968 and wiping nearly $70 billion from the company's market capitalization, as CEO Arvind Krishna said the weakness was driven by clients' shift in spending to memory chips and other hardware, rather than software and infrastructure. That warning knocked down software peers broadly and is precisely the reason software sentiment heading into this print is fragile: software sentiment was attempting to stabilize, but IBM's warning on July 14th delivered another blow to the industry, leaving investors nervous about buying the group despite very cheap valuations. The earnings report will be closely watched to gauge whether ServiceNow confirms or refutes concerns about deteriorating legacy software budgets due to a shift toward AI and security spending. In other words, NOW's print has effectively become a referendum on whether IBM's problem is company-specific or an industry-wide budget reallocation away from software.</w:t>
      </w:r>
    </w:p>
    <w:p>
      <w:r>
        <w:pict>
          <v:rect style="width:0;height:1.5pt" o:hralign="center" o:hrstd="t" o:hr="t"/>
        </w:pict>
      </w:r>
    </w:p>
    <w:bookmarkEnd w:id="9"/>
    <w:bookmarkStart w:id="10" w:name="Xd7b775ded759f07ed80370a66b0cd0c908f381c"/>
    <w:p>
      <w:pPr>
        <w:pStyle w:val="Heading2"/>
      </w:pPr>
      <w:r>
        <w:t xml:space="preserve">2. Q1 2026 Recap — The Baseline Investors Are Comparing Against</w:t>
      </w:r>
    </w:p>
    <w:p>
      <w:pPr>
        <w:pStyle w:val="FirstParagraph"/>
      </w:pPr>
      <w:r>
        <w:t xml:space="preserve">Q1 was another "beat-and-raise" quarter on paper. ServiceNow beats the high end of guidance across all Q1 2026 topline growth and profitability metrics, and raised its full year subscription revenues outlook, with subscription revenues of $3,671 million in Q1 2026, representing 22% year-over-year growth, 19% in constant currency. Current RPO — the best forward indicator — hit $12.64 billion, representing 22.5% year-over-year growth, 21% in constant currency, while total RPO reached $27.7 billion, representing 25% year-over-year growth, 23.5% in constant currency. Non-GAAP operating margin came in at 32% and free cash flow margin at 44%.</w:t>
      </w:r>
    </w:p>
    <w:p>
      <w:pPr>
        <w:pStyle w:val="BodyText"/>
      </w:pPr>
      <w:r>
        <w:t xml:space="preserve">The AI narrative accelerated meaningfully: Now Assist customers spending over $1 million in annual contract value grew over 130% year-over-year, and management surprised the Street mid-call by disclosing that the $1 billion 2026 AI-ACV target had already been raised — CFO Gina Mastantuono confirmed "that $1.5 billion that Bill talked about, we're measuring the exact same way as we always measured. We're just hitting our goals a lot quicker than we ever thought we would."</w:t>
      </w:r>
    </w:p>
    <w:p>
      <w:pPr>
        <w:pStyle w:val="BodyText"/>
      </w:pPr>
      <w:r>
        <w:t xml:space="preserve">Two nuances matter for tomorrow's print:</w:t>
      </w:r>
    </w:p>
    <w:p>
      <w:pPr>
        <w:pStyle w:val="Compact"/>
        <w:numPr>
          <w:ilvl w:val="0"/>
          <w:numId w:val="1001"/>
        </w:numPr>
      </w:pPr>
      <w:r>
        <w:rPr>
          <w:b/>
          <w:bCs/>
        </w:rPr>
        <w:t xml:space="preserve">M&amp;A cadence.</w:t>
      </w:r>
      <w:r>
        <w:t xml:space="preserve"> </w:t>
      </w:r>
      <w:r>
        <w:t xml:space="preserve">ServiceNow closed Veza (March 2), got an early close on Armis (April 20, ahead of schedule), and continues integrating Moveworks into "EmployeeWorks." Management was explicit that Veza closed in the middle of March and it's a small tuck-in ... they had very, very, very tiny contribution, which is why we're not calling it out — but Armis is a full quarter in Q2 and is a real driver of both revenue and margin dynamics.</w:t>
      </w:r>
    </w:p>
    <w:p>
      <w:pPr>
        <w:pStyle w:val="Compact"/>
        <w:numPr>
          <w:ilvl w:val="0"/>
          <w:numId w:val="1001"/>
        </w:numPr>
      </w:pPr>
      <w:r>
        <w:rPr>
          <w:b/>
          <w:bCs/>
        </w:rPr>
        <w:t xml:space="preserve">Middle East disruption.</w:t>
      </w:r>
      <w:r>
        <w:t xml:space="preserve"> </w:t>
      </w:r>
      <w:r>
        <w:t xml:space="preserve">Q1 growth absorbed approximately 75 basis point headwind from delayed closings of several large on-premise deals in the Middle East, due to the ongoing conflict in the region, and management said the outlook reflects a prudent assessment of those geopolitical headwinds on deal timing for the remainder of FY 2026. Given that regional tensions have flared again in July (shipping disruptions in the Strait of Hormuz, resumed fighting), this remains a live swing factor for on-prem timing.</w:t>
      </w:r>
    </w:p>
    <w:p>
      <w:r>
        <w:pict>
          <v:rect style="width:0;height:1.5pt" o:hralign="center" o:hrstd="t" o:hr="t"/>
        </w:pict>
      </w:r>
    </w:p>
    <w:bookmarkEnd w:id="10"/>
    <w:bookmarkStart w:id="11" w:name="X67069bef4a25df2093d53005dc75eb598d2c41d"/>
    <w:p>
      <w:pPr>
        <w:pStyle w:val="Heading2"/>
      </w:pPr>
      <w:r>
        <w:t xml:space="preserve">3. What Management Guided For Q2 and FY26</w:t>
      </w:r>
    </w:p>
    <w:p>
      <w:pPr>
        <w:pStyle w:val="FirstParagraph"/>
      </w:pPr>
      <w:r>
        <w:t xml:space="preserve">ServiceNow's own guidance, issued alongside Q1 results, calls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FY 2026 Guidance</w:t>
            </w:r>
          </w:p>
        </w:tc>
      </w:tr>
      <w:tr>
        <w:tc>
          <w:tcPr/>
          <w:p>
            <w:pPr>
              <w:pStyle w:val="Compact"/>
            </w:pPr>
            <w:r>
              <w:t xml:space="preserve">Subscription revenue</w:t>
            </w:r>
          </w:p>
        </w:tc>
        <w:tc>
          <w:tcPr/>
          <w:p>
            <w:pPr>
              <w:pStyle w:val="Compact"/>
            </w:pPr>
            <m:oMath>
              <m:r>
                <m:t>3</m:t>
              </m:r>
              <m:r>
                <m:rPr>
                  <m:sty m:val="p"/>
                </m:rPr>
                <m:t>,</m:t>
              </m:r>
              <m:r>
                <m:t>815</m:t>
              </m:r>
              <m:r>
                <m:rPr>
                  <m:sty m:val="p"/>
                </m:rPr>
                <m:t>–</m:t>
              </m:r>
            </m:oMath>
            <w:r>
              <w:t xml:space="preserve">3,820M (22.5% Y/Y GAAP; 21–21.5% cc)</w:t>
            </w:r>
          </w:p>
        </w:tc>
        <w:tc>
          <w:tcPr/>
          <w:p>
            <w:pPr>
              <w:pStyle w:val="Compact"/>
            </w:pPr>
            <m:oMath>
              <m:r>
                <m:t>15</m:t>
              </m:r>
              <m:r>
                <m:rPr>
                  <m:sty m:val="p"/>
                </m:rPr>
                <m:t>,</m:t>
              </m:r>
              <m:r>
                <m:t>735</m:t>
              </m:r>
              <m:r>
                <m:rPr>
                  <m:sty m:val="p"/>
                </m:rPr>
                <m:t>–</m:t>
              </m:r>
            </m:oMath>
            <w:r>
              <w:t xml:space="preserve">15,775M (22–22.5% Y/Y GAAP; 20.5–21% cc)</w:t>
            </w:r>
          </w:p>
        </w:tc>
      </w:tr>
      <w:tr>
        <w:tc>
          <w:tcPr/>
          <w:p>
            <w:pPr>
              <w:pStyle w:val="Compact"/>
            </w:pPr>
            <w:r>
              <w:t xml:space="preserve">cRPO growth (cc)</w:t>
            </w:r>
          </w:p>
        </w:tc>
        <w:tc>
          <w:tcPr/>
          <w:p>
            <w:pPr>
              <w:pStyle w:val="Compact"/>
            </w:pPr>
            <w:r>
              <w:t xml:space="preserve">19.5%</w:t>
            </w:r>
          </w:p>
        </w:tc>
        <w:tc>
          <w:tcPr/>
          <w:p>
            <w:pPr>
              <w:pStyle w:val="Compact"/>
            </w:pPr>
            <w:r>
              <w:t xml:space="preserve">—</w:t>
            </w:r>
          </w:p>
        </w:tc>
      </w:tr>
      <w:tr>
        <w:tc>
          <w:tcPr/>
          <w:p>
            <w:pPr>
              <w:pStyle w:val="Compact"/>
            </w:pPr>
            <w:r>
              <w:t xml:space="preserve">Non-GAAP operating margin</w:t>
            </w:r>
          </w:p>
        </w:tc>
        <w:tc>
          <w:tcPr/>
          <w:p>
            <w:pPr>
              <w:pStyle w:val="Compact"/>
            </w:pPr>
            <w:r>
              <w:t xml:space="preserve">26.5%</w:t>
            </w:r>
          </w:p>
        </w:tc>
        <w:tc>
          <w:tcPr/>
          <w:p>
            <w:pPr>
              <w:pStyle w:val="Compact"/>
            </w:pPr>
            <w:r>
              <w:t xml:space="preserve">31.5%</w:t>
            </w:r>
          </w:p>
        </w:tc>
      </w:tr>
      <w:tr>
        <w:tc>
          <w:tcPr/>
          <w:p>
            <w:pPr>
              <w:pStyle w:val="Compact"/>
            </w:pPr>
            <w:r>
              <w:t xml:space="preserve">Non-GAAP FCF margin</w:t>
            </w:r>
          </w:p>
        </w:tc>
        <w:tc>
          <w:tcPr/>
          <w:p>
            <w:pPr>
              <w:pStyle w:val="Compact"/>
            </w:pPr>
            <w:r>
              <w:t xml:space="preserve">—</w:t>
            </w:r>
          </w:p>
        </w:tc>
        <w:tc>
          <w:tcPr/>
          <w:p>
            <w:pPr>
              <w:pStyle w:val="Compact"/>
            </w:pPr>
            <w:r>
              <w:t xml:space="preserve">35%</w:t>
            </w:r>
          </w:p>
        </w:tc>
      </w:tr>
    </w:tbl>
    <w:p>
      <w:pPr>
        <w:pStyle w:val="BodyText"/>
      </w:pPr>
      <w:r>
        <w:t xml:space="preserve">Both the Q2 subscription-revenue and cRPO guides, plus the FY26 subscription guide, each include approximately 125 basis points of contribution from Armis, and management flagged that the acquisition is also expected to create headwinds of approximately 25 basis points to FY 2026 subscription gross margin, approximately 75 basis points to FY 2026 operating margin, approximately 200 basis points to FY 2026 free cash flow margin, and approximately 125 basis points to Q2 2026 operating margin. Notably, cRPO growth of 19.5% cc would represent a sequential deceleration from Q1's 21% cc — though CFO Mastantuono pushed back hard on framing this as a demand issue, noting Armis contracts carry termination-for-convenience clauses that mechanically cap how much of that business can flow into cRPO.</w:t>
      </w:r>
    </w:p>
    <w:p>
      <w:pPr>
        <w:pStyle w:val="BodyText"/>
      </w:pPr>
      <w:r>
        <w:t xml:space="preserve">Sell-side consensus heading into the print sits at roughly</w:t>
      </w:r>
      <w:r>
        <w:t xml:space="preserve"> </w:t>
      </w:r>
      <m:oMath>
        <m:r>
          <m:t>3.92</m:t>
        </m:r>
        <m:r>
          <m:rPr>
            <m:sty m:val="p"/>
          </m:rPr>
          <m:t>–</m:t>
        </m:r>
        <m:r>
          <m:t>3.93</m:t>
        </m:r>
        <m:r>
          <m:t>b</m:t>
        </m:r>
        <m:r>
          <m:t>i</m:t>
        </m:r>
        <m:r>
          <m:t>l</m:t>
        </m:r>
        <m:r>
          <m:t>l</m:t>
        </m:r>
        <m:r>
          <m:t>i</m:t>
        </m:r>
        <m:r>
          <m:t>o</m:t>
        </m:r>
        <m:r>
          <m:t>n</m:t>
        </m:r>
        <m:r>
          <m:t>i</m:t>
        </m:r>
        <m:r>
          <m:t>n</m:t>
        </m:r>
        <m:r>
          <m:t>t</m:t>
        </m:r>
        <m:r>
          <m:t>o</m:t>
        </m:r>
        <m:r>
          <m:t>t</m:t>
        </m:r>
        <m:r>
          <m:t>a</m:t>
        </m:r>
        <m:r>
          <m:t>l</m:t>
        </m:r>
        <m:r>
          <m:t>r</m:t>
        </m:r>
        <m:r>
          <m:t>e</m:t>
        </m:r>
        <m:r>
          <m:t>v</m:t>
        </m:r>
        <m:r>
          <m:t>e</m:t>
        </m:r>
        <m:r>
          <m:t>n</m:t>
        </m:r>
        <m:r>
          <m:t>u</m:t>
        </m:r>
        <m:r>
          <m:t>e</m:t>
        </m:r>
        <m:r>
          <m:rPr>
            <m:sty m:val="p"/>
          </m:rPr>
          <m:t>(</m:t>
        </m:r>
        <m:r>
          <m:t> </m:t>
        </m:r>
        <m:r>
          <m:t>22</m:t>
        </m:r>
      </m:oMath>
      <w:r>
        <w:rPr>
          <w:b/>
          <w:bCs/>
        </w:rPr>
        <w:t xml:space="preserve">0.86 non-GAAP EPS (~4.9% Y/Y growth)</w:t>
      </w:r>
      <w:r>
        <w:t xml:space="preserve">, broadly in line with — modestly above — company guidance once professional-services revenue is layered on top of the subscription guide.</w:t>
      </w:r>
    </w:p>
    <w:p>
      <w:r>
        <w:pict>
          <v:rect style="width:0;height:1.5pt" o:hralign="center" o:hrstd="t" o:hr="t"/>
        </w:pict>
      </w:r>
    </w:p>
    <w:bookmarkEnd w:id="11"/>
    <w:bookmarkStart w:id="12" w:name="X1951827efca306ad3cda28ec153e5fddcd595de"/>
    <w:p>
      <w:pPr>
        <w:pStyle w:val="Heading2"/>
      </w:pPr>
      <w:r>
        <w:t xml:space="preserve">4. The Bigger Picture: May 4 Financial Analyst Day Targets</w:t>
      </w:r>
    </w:p>
    <w:p>
      <w:pPr>
        <w:pStyle w:val="FirstParagraph"/>
      </w:pPr>
      <w:r>
        <w:t xml:space="preserve">At its Financial Analyst Day, management laid out an ambitious long-term framework that investors will be checking progress against:</w:t>
      </w:r>
    </w:p>
    <w:p>
      <w:pPr>
        <w:pStyle w:val="Compact"/>
        <w:numPr>
          <w:ilvl w:val="0"/>
          <w:numId w:val="1002"/>
        </w:numPr>
      </w:pPr>
      <m:oMath>
        <m:r>
          <m:t>30</m:t>
        </m:r>
        <m:r>
          <m:t>b</m:t>
        </m:r>
        <m:r>
          <m:t>i</m:t>
        </m:r>
        <m:r>
          <m:t>l</m:t>
        </m:r>
        <m:r>
          <m:t>l</m:t>
        </m:r>
        <m:r>
          <m:t>i</m:t>
        </m:r>
        <m:r>
          <m:t>o</m:t>
        </m:r>
        <m:r>
          <m:t>n</m:t>
        </m:r>
        <m:r>
          <m:rPr>
            <m:sty m:val="p"/>
          </m:rPr>
          <m:t>+</m:t>
        </m:r>
        <m:r>
          <m:t>i</m:t>
        </m:r>
        <m:r>
          <m:t>n</m:t>
        </m:r>
        <m:r>
          <m:t>s</m:t>
        </m:r>
        <m:r>
          <m:t>u</m:t>
        </m:r>
        <m:r>
          <m:t>b</m:t>
        </m:r>
        <m:r>
          <m:t>s</m:t>
        </m:r>
        <m:r>
          <m:t>c</m:t>
        </m:r>
        <m:r>
          <m:t>r</m:t>
        </m:r>
        <m:r>
          <m:t>i</m:t>
        </m:r>
        <m:r>
          <m:t>p</m:t>
        </m:r>
        <m:r>
          <m:t>t</m:t>
        </m:r>
        <m:r>
          <m:t>i</m:t>
        </m:r>
        <m:r>
          <m:t>o</m:t>
        </m:r>
        <m:r>
          <m:t>n</m:t>
        </m:r>
        <m:r>
          <m:t>r</m:t>
        </m:r>
        <m:r>
          <m:t>e</m:t>
        </m:r>
        <m:r>
          <m:t>v</m:t>
        </m:r>
        <m:r>
          <m:t>e</m:t>
        </m:r>
        <m:r>
          <m:t>n</m:t>
        </m:r>
        <m:r>
          <m:t>u</m:t>
        </m:r>
        <m:r>
          <m:t>e</m:t>
        </m:r>
        <m:r>
          <m:t>b</m:t>
        </m:r>
        <m:r>
          <m:t>y</m:t>
        </m:r>
        <m:r>
          <m:t>2030</m:t>
        </m:r>
        <m:r>
          <m:rPr>
            <m:sty m:val="p"/>
          </m:rPr>
          <m:t>*</m:t>
        </m:r>
        <m:r>
          <m:rPr>
            <m:sty m:val="p"/>
          </m:rPr>
          <m:t>*</m:t>
        </m:r>
        <m:r>
          <m:t>o</m:t>
        </m:r>
        <m:r>
          <m:t>n</m:t>
        </m:r>
        <m:r>
          <m:t>a</m:t>
        </m:r>
        <m:r>
          <m:t>n</m:t>
        </m:r>
        <m:r>
          <m:t>o</m:t>
        </m:r>
        <m:r>
          <m:t>r</m:t>
        </m:r>
        <m:r>
          <m:t>g</m:t>
        </m:r>
        <m:r>
          <m:t>a</m:t>
        </m:r>
        <m:r>
          <m:t>n</m:t>
        </m:r>
        <m:r>
          <m:t>i</m:t>
        </m:r>
        <m:r>
          <m:t>c</m:t>
        </m:r>
        <m:r>
          <m:t>b</m:t>
        </m:r>
        <m:r>
          <m:t>a</m:t>
        </m:r>
        <m:r>
          <m:t>s</m:t>
        </m:r>
        <m:r>
          <m:t>i</m:t>
        </m:r>
        <m:r>
          <m:t>s</m:t>
        </m:r>
        <m:r>
          <m:rPr>
            <m:sty m:val="p"/>
          </m:rPr>
          <m:t>,</m:t>
        </m:r>
        <m:r>
          <m:t>w</m:t>
        </m:r>
        <m:r>
          <m:t>i</m:t>
        </m:r>
        <m:r>
          <m:t>t</m:t>
        </m:r>
        <m:r>
          <m:t>h</m:t>
        </m:r>
        <m:r>
          <m:t>a</m:t>
        </m:r>
        <m:r>
          <m:t>n</m:t>
        </m:r>
        <m:r>
          <m:t>u</m:t>
        </m:r>
        <m:r>
          <m:t>p</m:t>
        </m:r>
        <m:r>
          <m:t>s</m:t>
        </m:r>
        <m:r>
          <m:t>i</m:t>
        </m:r>
        <m:r>
          <m:t>d</m:t>
        </m:r>
        <m:r>
          <m:t>e</m:t>
        </m:r>
        <m:r>
          <m:t>s</m:t>
        </m:r>
        <m:r>
          <m:t>c</m:t>
        </m:r>
        <m:r>
          <m:t>e</m:t>
        </m:r>
        <m:r>
          <m:t>n</m:t>
        </m:r>
        <m:r>
          <m:t>a</m:t>
        </m:r>
        <m:r>
          <m:t>r</m:t>
        </m:r>
        <m:r>
          <m:t>i</m:t>
        </m:r>
        <m:r>
          <m:t>o</m:t>
        </m:r>
        <m:r>
          <m:t>o</m:t>
        </m:r>
        <m:r>
          <m:t>f</m:t>
        </m:r>
        <m:r>
          <m:rPr>
            <m:sty m:val="p"/>
          </m:rPr>
          <m:t>*</m:t>
        </m:r>
        <m:r>
          <m:rPr>
            <m:sty m:val="p"/>
          </m:rPr>
          <m:t>*</m:t>
        </m:r>
      </m:oMath>
      <w:r>
        <w:rPr>
          <w:b/>
          <w:bCs/>
        </w:rPr>
        <w:t xml:space="preserve">32 billion</w:t>
      </w:r>
      <w:r>
        <w:t xml:space="preserve"> </w:t>
      </w:r>
      <w:r>
        <w:t xml:space="preserve">including the recent tuck-in acquisitions — CFO Mastantuono noting "we're on pace to double that target in 2030 ... a higher 20% CAGR from our current 2026 guidance and $32 billion of subscription revenue in 2030".</w:t>
      </w:r>
    </w:p>
    <w:p>
      <w:pPr>
        <w:pStyle w:val="Compact"/>
        <w:numPr>
          <w:ilvl w:val="0"/>
          <w:numId w:val="1002"/>
        </w:numPr>
      </w:pPr>
      <w:r>
        <w:t xml:space="preserve">A</w:t>
      </w:r>
      <w:r>
        <w:t xml:space="preserve"> </w:t>
      </w:r>
      <w:r>
        <w:rPr>
          <w:b/>
          <w:bCs/>
        </w:rPr>
        <w:t xml:space="preserve">"Rule of 60+"</w:t>
      </w:r>
      <w:r>
        <w:t xml:space="preserve"> </w:t>
      </w:r>
      <w:r>
        <w:t xml:space="preserve">target by 2030 (revenue growth + FCF margin), up from the current ~56.</w:t>
      </w:r>
    </w:p>
    <w:p>
      <w:pPr>
        <w:pStyle w:val="Compact"/>
        <w:numPr>
          <w:ilvl w:val="0"/>
          <w:numId w:val="1002"/>
        </w:numPr>
      </w:pPr>
      <w:r>
        <w:t xml:space="preserve">Stock-based compensation falling</w:t>
      </w:r>
      <w:r>
        <w:t xml:space="preserve"> </w:t>
      </w:r>
      <w:r>
        <w:rPr>
          <w:b/>
          <w:bCs/>
        </w:rPr>
        <w:t xml:space="preserve">below 10% of revenue by 2029</w:t>
      </w:r>
      <w:r>
        <w:t xml:space="preserve">.</w:t>
      </w:r>
    </w:p>
    <w:p>
      <w:pPr>
        <w:pStyle w:val="Compact"/>
        <w:numPr>
          <w:ilvl w:val="0"/>
          <w:numId w:val="1002"/>
        </w:numPr>
      </w:pPr>
      <w:r>
        <w:rPr>
          <w:b/>
          <w:bCs/>
        </w:rPr>
        <w:t xml:space="preserve">30% of total ACV coming from ServiceNow AI by 2030</w:t>
      </w:r>
      <w:r>
        <w:t xml:space="preserve">, versus roughly</w:t>
      </w:r>
      <w:r>
        <w:t xml:space="preserve"> </w:t>
      </w:r>
      <m:oMath>
        <m:r>
          <m:t>1.5</m:t>
        </m:r>
        <m:r>
          <m:t>b</m:t>
        </m:r>
        <m:r>
          <m:t>i</m:t>
        </m:r>
        <m:r>
          <m:t>l</m:t>
        </m:r>
        <m:r>
          <m:t>l</m:t>
        </m:r>
        <m:r>
          <m:t>i</m:t>
        </m:r>
        <m:r>
          <m:t>o</m:t>
        </m:r>
        <m:r>
          <m:t>n</m:t>
        </m:r>
        <m:r>
          <m:rPr>
            <m:sty m:val="p"/>
          </m:rPr>
          <m:t>(</m:t>
        </m:r>
        <m:r>
          <m:t>s</m:t>
        </m:r>
        <m:r>
          <m:t>o</m:t>
        </m:r>
        <m:r>
          <m:t>o</m:t>
        </m:r>
        <m:r>
          <m:t>n</m:t>
        </m:r>
        <m:r>
          <m:rPr>
            <m:sty m:val="p"/>
          </m:rPr>
          <m:t>−</m:t>
        </m:r>
        <m:r>
          <m:t>t</m:t>
        </m:r>
        <m:r>
          <m:t>o</m:t>
        </m:r>
        <m:r>
          <m:rPr>
            <m:sty m:val="p"/>
          </m:rPr>
          <m:t>−</m:t>
        </m:r>
        <m:r>
          <m:t>b</m:t>
        </m:r>
        <m:r>
          <m:t>e</m:t>
        </m:r>
        <m:r>
          <m:t>a</m:t>
        </m:r>
        <m:r>
          <m:t>l</m:t>
        </m:r>
        <m:r>
          <m:t>o</m:t>
        </m:r>
        <m:r>
          <m:t>w</m:t>
        </m:r>
        <m:r>
          <m:rPr>
            <m:sty m:val="p"/>
          </m:rPr>
          <m:t>−</m:t>
        </m:r>
        <m:r>
          <m:t>s</m:t>
        </m:r>
        <m:r>
          <m:t>i</m:t>
        </m:r>
        <m:r>
          <m:t>n</m:t>
        </m:r>
        <m:r>
          <m:t>g</m:t>
        </m:r>
        <m:r>
          <m:t>l</m:t>
        </m:r>
        <m:r>
          <m:t>e</m:t>
        </m:r>
        <m:r>
          <m:rPr>
            <m:sty m:val="p"/>
          </m:rPr>
          <m:t>−</m:t>
        </m:r>
        <m:r>
          <m:t>d</m:t>
        </m:r>
        <m:r>
          <m:t>i</m:t>
        </m:r>
        <m:r>
          <m:t>g</m:t>
        </m:r>
        <m:r>
          <m:t>i</m:t>
        </m:r>
        <m:r>
          <m:t>t</m:t>
        </m:r>
        <m:r>
          <m:t>p</m:t>
        </m:r>
        <m:r>
          <m:t>e</m:t>
        </m:r>
        <m:r>
          <m:t>r</m:t>
        </m:r>
        <m:r>
          <m:t>c</m:t>
        </m:r>
        <m:r>
          <m:t>e</m:t>
        </m:r>
        <m:r>
          <m:t>n</m:t>
        </m:r>
        <m:r>
          <m:t>t</m:t>
        </m:r>
        <m:r>
          <m:t>a</m:t>
        </m:r>
        <m:r>
          <m:t>g</m:t>
        </m:r>
        <m:r>
          <m:t>e</m:t>
        </m:r>
        <m:r>
          <m:t>o</m:t>
        </m:r>
        <m:r>
          <m:t>f</m:t>
        </m:r>
        <m:r>
          <m:t> </m:t>
        </m:r>
      </m:oMath>
      <w:r>
        <w:t xml:space="preserve">15.7B subscription revenue) today.</w:t>
      </w:r>
    </w:p>
    <w:p>
      <w:pPr>
        <w:pStyle w:val="Compact"/>
        <w:numPr>
          <w:ilvl w:val="0"/>
          <w:numId w:val="1002"/>
        </w:numPr>
      </w:pPr>
      <w:r>
        <w:t xml:space="preserve">A return to</w:t>
      </w:r>
      <w:r>
        <w:t xml:space="preserve"> </w:t>
      </w:r>
      <w:r>
        <w:rPr>
          <w:b/>
          <w:bCs/>
        </w:rPr>
        <w:t xml:space="preserve">"normalized" margin expansion in 2027</w:t>
      </w:r>
      <w:r>
        <w:t xml:space="preserve"> </w:t>
      </w:r>
      <w:r>
        <w:t xml:space="preserve">— specifically 100 basis points of non-GAAP operating margin expansion and 100 basis points of free cash flow margin expansion in 2027, inclusive of Armis — after 2026 absorbs the Armis integration drag.</w:t>
      </w:r>
    </w:p>
    <w:p>
      <w:pPr>
        <w:pStyle w:val="FirstParagraph"/>
      </w:pPr>
      <w:r>
        <w:t xml:space="preserve">Management was careful to note this framework does</w:t>
      </w:r>
      <w:r>
        <w:t xml:space="preserve"> </w:t>
      </w:r>
      <w:r>
        <w:rPr>
          <w:b/>
          <w:bCs/>
        </w:rPr>
        <w:t xml:space="preserve">not</w:t>
      </w:r>
      <w:r>
        <w:t xml:space="preserve"> </w:t>
      </w:r>
      <w:r>
        <w:t xml:space="preserve">assume additional large-scale M&amp;A: "in the $30 billion and the $32 billion or however many 30s, we did not put large-scale M&amp;A in there ... we typically do these little tuck-ins."</w:t>
      </w:r>
    </w:p>
    <w:p>
      <w:r>
        <w:pict>
          <v:rect style="width:0;height:1.5pt" o:hralign="center" o:hrstd="t" o:hr="t"/>
        </w:pict>
      </w:r>
    </w:p>
    <w:bookmarkEnd w:id="12"/>
    <w:bookmarkStart w:id="13" w:name="X9c6b2a67d827090e4fcc86c0dffc6e8eea0d101"/>
    <w:p>
      <w:pPr>
        <w:pStyle w:val="Heading2"/>
      </w:pPr>
      <w:r>
        <w:t xml:space="preserve">5. Analyst Sentiment Is Unusually Split</w:t>
      </w:r>
    </w:p>
    <w:p>
      <w:pPr>
        <w:pStyle w:val="FirstParagraph"/>
      </w:pPr>
      <w:r>
        <w:t xml:space="preserve">The stock's ~33% YTD decline has produced a wide dispersion of views:</w:t>
      </w:r>
    </w:p>
    <w:p>
      <w:pPr>
        <w:pStyle w:val="Compact"/>
        <w:numPr>
          <w:ilvl w:val="0"/>
          <w:numId w:val="1003"/>
        </w:numPr>
      </w:pPr>
      <w:r>
        <w:rPr>
          <w:b/>
          <w:bCs/>
        </w:rPr>
        <w:t xml:space="preserve">Guggenheim</w:t>
      </w:r>
      <w:r>
        <w:t xml:space="preserve"> </w:t>
      </w:r>
      <w:r>
        <w:t xml:space="preserve">flipped to Buy on July 1 with a $125 price target, arguing the AI disruption narrative isn't a "death knell" for the platform layer, after the stock had fallen sharply since the firm's prior downgrade.</w:t>
      </w:r>
    </w:p>
    <w:p>
      <w:pPr>
        <w:pStyle w:val="Compact"/>
        <w:numPr>
          <w:ilvl w:val="0"/>
          <w:numId w:val="1003"/>
        </w:numPr>
      </w:pPr>
      <w:r>
        <w:rPr>
          <w:b/>
          <w:bCs/>
        </w:rPr>
        <w:t xml:space="preserve">Oppenheimer</w:t>
      </w:r>
      <w:r>
        <w:t xml:space="preserve"> </w:t>
      </w:r>
      <w:r>
        <w:t xml:space="preserve">carries a $140 price target, implying meaningful upside from current levels.</w:t>
      </w:r>
    </w:p>
    <w:p>
      <w:pPr>
        <w:pStyle w:val="Compact"/>
        <w:numPr>
          <w:ilvl w:val="0"/>
          <w:numId w:val="1003"/>
        </w:numPr>
      </w:pPr>
      <w:r>
        <w:rPr>
          <w:b/>
          <w:bCs/>
        </w:rPr>
        <w:t xml:space="preserve">CLSA</w:t>
      </w:r>
      <w:r>
        <w:t xml:space="preserve">, by contrast, initiated coverage on July 20 with an</w:t>
      </w:r>
      <w:r>
        <w:t xml:space="preserve"> </w:t>
      </w:r>
      <w:r>
        <w:rPr>
          <w:b/>
          <w:bCs/>
        </w:rPr>
        <w:t xml:space="preserve">Underperform</w:t>
      </w:r>
      <w:r>
        <w:t xml:space="preserve"> </w:t>
      </w:r>
      <w:r>
        <w:t xml:space="preserve">rating and a</w:t>
      </w:r>
      <w:r>
        <w:t xml:space="preserve"> </w:t>
      </w:r>
      <w:r>
        <w:rPr>
          <w:b/>
          <w:bCs/>
        </w:rPr>
        <w:t xml:space="preserve">$72 price target</w:t>
      </w:r>
      <w:r>
        <w:t xml:space="preserve"> </w:t>
      </w:r>
      <w:r>
        <w:t xml:space="preserve">— roughly 30% downside — with analyst Bhavtosh Vajpayee arguing that ServiceNow's enterprise-AI growth story is already priced in and further multiple compression is likely.</w:t>
      </w:r>
    </w:p>
    <w:p>
      <w:pPr>
        <w:pStyle w:val="FirstParagraph"/>
      </w:pPr>
      <w:r>
        <w:t xml:space="preserve">This split underscores that tomorrow's print carries binary-outcome risk: a clean beat-and-raise that addresses the IBM-style budget-reallocation fear could catalyze a sharp re-rating, while any wobble in cRPO, billings, or AI-ACV momentum could validate the bears.</w:t>
      </w:r>
    </w:p>
    <w:p>
      <w:r>
        <w:pict>
          <v:rect style="width:0;height:1.5pt" o:hralign="center" o:hrstd="t" o:hr="t"/>
        </w:pict>
      </w:r>
    </w:p>
    <w:bookmarkEnd w:id="13"/>
    <w:bookmarkStart w:id="14" w:name="X9525656b6ed3c3a1462870372a54459f76b5804"/>
    <w:p>
      <w:pPr>
        <w:pStyle w:val="Heading2"/>
      </w:pPr>
      <w:r>
        <w:t xml:space="preserve">6. Key Things To Watch In Tomorrow's Print</w:t>
      </w:r>
    </w:p>
    <w:p>
      <w:pPr>
        <w:pStyle w:val="Compact"/>
        <w:numPr>
          <w:ilvl w:val="0"/>
          <w:numId w:val="1004"/>
        </w:numPr>
      </w:pPr>
      <w:r>
        <w:rPr>
          <w:b/>
          <w:bCs/>
        </w:rPr>
        <w:t xml:space="preserve">Organic vs. inorganic growth clarity</w:t>
      </w:r>
      <w:r>
        <w:t xml:space="preserve"> </w:t>
      </w:r>
      <w:r>
        <w:t xml:space="preserve">— with Armis now a full quarter in the base, investors will want an explicit organic subscription-revenue and cRPO growth rate, given the scrutiny Q1's M&amp;A contribution received.</w:t>
      </w:r>
    </w:p>
    <w:p>
      <w:pPr>
        <w:pStyle w:val="Compact"/>
        <w:numPr>
          <w:ilvl w:val="0"/>
          <w:numId w:val="1004"/>
        </w:numPr>
      </w:pPr>
      <w:r>
        <w:rPr>
          <w:b/>
          <w:bCs/>
        </w:rPr>
        <w:t xml:space="preserve">AI/Now Assist ACV trajectory</w:t>
      </w:r>
      <w:r>
        <w:t xml:space="preserve"> </w:t>
      </w:r>
      <w:r>
        <w:t xml:space="preserve">— is the business still tracking toward (or beyond) the raised $1.5B FY26 target, and is the "3–4.5x expansion by year five" consumption thesis from FAD showing up in early cohort data?</w:t>
      </w:r>
    </w:p>
    <w:p>
      <w:pPr>
        <w:pStyle w:val="Compact"/>
        <w:numPr>
          <w:ilvl w:val="0"/>
          <w:numId w:val="1004"/>
        </w:numPr>
      </w:pPr>
      <w:r>
        <w:rPr>
          <w:b/>
          <w:bCs/>
        </w:rPr>
        <w:t xml:space="preserve">Margin path</w:t>
      </w:r>
      <w:r>
        <w:t xml:space="preserve"> </w:t>
      </w:r>
      <w:r>
        <w:t xml:space="preserve">— does Q2 operating margin land at/above the guided 26.5% despite the ~125bp Armis drag, and does management reaffirm the 2027 return to "normalized" margin expansion?</w:t>
      </w:r>
    </w:p>
    <w:p>
      <w:pPr>
        <w:pStyle w:val="Compact"/>
        <w:numPr>
          <w:ilvl w:val="0"/>
          <w:numId w:val="1004"/>
        </w:numPr>
      </w:pPr>
      <w:r>
        <w:rPr>
          <w:b/>
          <w:bCs/>
        </w:rPr>
        <w:t xml:space="preserve">cRPO deceleration</w:t>
      </w:r>
      <w:r>
        <w:t xml:space="preserve"> </w:t>
      </w:r>
      <w:r>
        <w:t xml:space="preserve">— is the guided step-down to 19.5% cc purely an Armis termination-for-convenience/FX mechanical effect, or does it reflect any softening in net-new bookings?</w:t>
      </w:r>
    </w:p>
    <w:p>
      <w:pPr>
        <w:pStyle w:val="Compact"/>
        <w:numPr>
          <w:ilvl w:val="0"/>
          <w:numId w:val="1004"/>
        </w:numPr>
      </w:pPr>
      <w:r>
        <w:rPr>
          <w:b/>
          <w:bCs/>
        </w:rPr>
        <w:t xml:space="preserve">Middle East/geopolitical commentary</w:t>
      </w:r>
      <w:r>
        <w:t xml:space="preserve"> </w:t>
      </w:r>
      <w:r>
        <w:t xml:space="preserve">— any update on on-premise deal timing given the renewed regional conflict.</w:t>
      </w:r>
    </w:p>
    <w:p>
      <w:pPr>
        <w:pStyle w:val="Compact"/>
        <w:numPr>
          <w:ilvl w:val="0"/>
          <w:numId w:val="1004"/>
        </w:numPr>
      </w:pPr>
      <w:r>
        <w:rPr>
          <w:b/>
          <w:bCs/>
        </w:rPr>
        <w:t xml:space="preserve">Direct response to the IBM overhang</w:t>
      </w:r>
      <w:r>
        <w:t xml:space="preserve"> </w:t>
      </w:r>
      <w:r>
        <w:t xml:space="preserve">— expect analysts to press management explicitly on whether ServiceNow is seeing any signs of budget dollars rotating away from software platforms toward AI infrastructure/hardware, mirroring IBM's warning.</w:t>
      </w:r>
    </w:p>
    <w:p>
      <w:pPr>
        <w:pStyle w:val="Compact"/>
        <w:numPr>
          <w:ilvl w:val="0"/>
          <w:numId w:val="1004"/>
        </w:numPr>
      </w:pPr>
      <w:r>
        <w:rPr>
          <w:b/>
          <w:bCs/>
        </w:rPr>
        <w:t xml:space="preserve">FY26 guidance revision</w:t>
      </w:r>
      <w:r>
        <w:t xml:space="preserve"> </w:t>
      </w:r>
      <w:r>
        <w:t xml:space="preserve">— does management raise full-year subscription revenue and/or margin guidance again, continuing the "beat-and-raise" pattern, or hold steady given macro caution?</w:t>
      </w:r>
    </w:p>
    <w:p>
      <w:pPr>
        <w:pStyle w:val="Compact"/>
        <w:numPr>
          <w:ilvl w:val="0"/>
          <w:numId w:val="1004"/>
        </w:numPr>
      </w:pPr>
      <w:r>
        <w:rPr>
          <w:b/>
          <w:bCs/>
        </w:rPr>
        <w:t xml:space="preserve">Capital return</w:t>
      </w:r>
      <w:r>
        <w:t xml:space="preserve"> </w:t>
      </w:r>
      <w:r>
        <w:t xml:space="preserve">— progress toward the stated goal of being dilution-neutral for FY26, with roughly $4.2 billion of buyback authorization still available as of Q1.</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ServiceNow enters this print with a genuinely strong operating narrative — accelerating AI monetization, a rapidly expanding security TAM via Armis/Veza, and an ambitious 2030 framework — but a stock that has been severely de-rated on macro and AI-disruption fears, compounded this week by IBM's sector-shaking software warning. The numbers themselves (a beat above the guided $3.815–3.82B subscription revenue range and 19.5% cc cRPO growth) matter less than the</w:t>
      </w:r>
      <w:r>
        <w:t xml:space="preserve"> </w:t>
      </w:r>
      <w:r>
        <w:rPr>
          <w:i/>
          <w:iCs/>
        </w:rPr>
        <w:t xml:space="preserve">qualitative</w:t>
      </w:r>
      <w:r>
        <w:t xml:space="preserve"> </w:t>
      </w:r>
      <w:r>
        <w:t xml:space="preserve">signal: whether management can convincingly demonstrate that ServiceNow's AI Control Tower positioning is capturing incremental enterprise AI spend rather than being disrupted by it. Given the CLSA-vs-Oppenheimer divide already in the market, this looks like a high-volatility event for the stock regardless of the direction of the actual results.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2026-07-22T00:46:54Z</dcterms:created>
  <dcterms:modified xsi:type="dcterms:W3CDTF">2026-07-22T00:46:54Z</dcterms:modified>
</cp:coreProperties>
</file>

<file path=docProps/custom.xml><?xml version="1.0" encoding="utf-8"?>
<Properties xmlns="http://schemas.openxmlformats.org/officeDocument/2006/custom-properties" xmlns:vt="http://schemas.openxmlformats.org/officeDocument/2006/docPropsVTypes"/>
</file>