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4" w:name="servicenow-now-q2-2026-earnings-preview"/>
    <w:p>
      <w:pPr>
        <w:pStyle w:val="Heading1"/>
      </w:pPr>
      <w:r>
        <w:t xml:space="preserve">ServiceNow (NOW) Q2 2026 Earnings Preview</w:t>
      </w:r>
    </w:p>
    <w:p>
      <w:pPr>
        <w:pStyle w:val="BlockText"/>
      </w:pPr>
      <w:r>
        <w:rPr>
          <w:b/>
          <w:bCs/>
        </w:rPr>
        <w:t xml:space="preserve">Timing clarification:</w:t>
      </w:r>
      <w:r>
        <w:t xml:space="preserve"> </w:t>
      </w:r>
      <w:r>
        <w:t xml:space="preserve">ServiceNow is scheduled to report</w:t>
      </w:r>
      <w:r>
        <w:t xml:space="preserve"> </w:t>
      </w:r>
      <w:r>
        <w:rPr>
          <w:b/>
          <w:bCs/>
        </w:rPr>
        <w:t xml:space="preserve">today, Wednesday, July 22, 2026</w:t>
      </w:r>
      <w:r>
        <w:t xml:space="preserve">, after the market closes—not tomorrow. The earnings call begins at</w:t>
      </w:r>
      <w:r>
        <w:t xml:space="preserve"> </w:t>
      </w:r>
      <w:r>
        <w:rPr>
          <w:b/>
          <w:bCs/>
        </w:rPr>
        <w:t xml:space="preserve">2:00 p.m. Pacific / 5:00 p.m. Eastern</w:t>
      </w:r>
      <w:r>
        <w:t xml:space="preserve">. (</w:t>
      </w:r>
      <w:hyperlink r:id="rId9">
        <w:r>
          <w:rPr>
            <w:rStyle w:val="Hyperlink"/>
          </w:rPr>
          <w:t xml:space="preserve">newsroom.servicenow.com</w:t>
        </w:r>
      </w:hyperlink>
      <w:r>
        <w:t xml:space="preserve">)</w:t>
      </w:r>
    </w:p>
    <w:bookmarkStart w:id="10" w:name="investment-setup"/>
    <w:p>
      <w:pPr>
        <w:pStyle w:val="Heading2"/>
      </w:pPr>
      <w:r>
        <w:t xml:space="preserve">Investment setup</w:t>
      </w:r>
    </w:p>
    <w:p>
      <w:pPr>
        <w:pStyle w:val="FirstParagraph"/>
      </w:pPr>
      <w:r>
        <w:t xml:space="preserve">ServiceNow enters Q2 with a combination of</w:t>
      </w:r>
      <w:r>
        <w:t xml:space="preserve"> </w:t>
      </w:r>
      <w:r>
        <w:rPr>
          <w:b/>
          <w:bCs/>
        </w:rPr>
        <w:t xml:space="preserve">depressed expectations and a demanding earnings bar</w:t>
      </w:r>
      <w:r>
        <w:t xml:space="preserve">.</w:t>
      </w:r>
    </w:p>
    <w:p>
      <w:pPr>
        <w:pStyle w:val="BodyText"/>
      </w:pPr>
      <w:r>
        <w:t xml:space="preserve">The shares closed July 21 at</w:t>
      </w:r>
      <w:r>
        <w:t xml:space="preserve"> </w:t>
      </w:r>
      <w:r>
        <w:rPr>
          <w:b/>
          <w:bCs/>
        </w:rPr>
        <w:t xml:space="preserve">$102.09</w:t>
      </w:r>
      <w:r>
        <w:t xml:space="preserve">, down roughly</w:t>
      </w:r>
      <w:r>
        <w:t xml:space="preserve"> </w:t>
      </w:r>
      <w:r>
        <w:rPr>
          <w:b/>
          <w:bCs/>
        </w:rPr>
        <w:t xml:space="preserve">31% year to date</w:t>
      </w:r>
      <w:r>
        <w:t xml:space="preserve">. However, the stock is also about 23% above its April low. Following Q1 results, NOW fell almost 18% in one session despite beating guidance because investors questioned:</w:t>
      </w:r>
    </w:p>
    <w:p>
      <w:pPr>
        <w:pStyle w:val="Compact"/>
        <w:numPr>
          <w:ilvl w:val="0"/>
          <w:numId w:val="1001"/>
        </w:numPr>
      </w:pPr>
      <w:r>
        <w:t xml:space="preserve">How much growth was organic versus acquisition-related.</w:t>
      </w:r>
    </w:p>
    <w:p>
      <w:pPr>
        <w:pStyle w:val="Compact"/>
        <w:numPr>
          <w:ilvl w:val="0"/>
          <w:numId w:val="1001"/>
        </w:numPr>
      </w:pPr>
      <w:r>
        <w:t xml:space="preserve">Why the organic full-year outlook was not raised.</w:t>
      </w:r>
    </w:p>
    <w:p>
      <w:pPr>
        <w:pStyle w:val="Compact"/>
        <w:numPr>
          <w:ilvl w:val="0"/>
          <w:numId w:val="1001"/>
        </w:numPr>
      </w:pPr>
      <w:r>
        <w:t xml:space="preserve">When strong AI bookings would produce visible revenue acceleration.</w:t>
      </w:r>
    </w:p>
    <w:p>
      <w:pPr>
        <w:pStyle w:val="Compact"/>
        <w:numPr>
          <w:ilvl w:val="0"/>
          <w:numId w:val="1001"/>
        </w:numPr>
      </w:pPr>
      <w:r>
        <w:t xml:space="preserve">Whether foundation models and new AI tools will pressure traditional enterprise-software budgets.</w:t>
      </w:r>
    </w:p>
    <w:p>
      <w:pPr>
        <w:pStyle w:val="FirstParagraph"/>
      </w:pPr>
      <w:r>
        <w:t xml:space="preserve">Consequently, an ordinary beat is unlikely to be enough. The report needs to demonstrate that</w:t>
      </w:r>
      <w:r>
        <w:t xml:space="preserve"> </w:t>
      </w:r>
      <w:r>
        <w:rPr>
          <w:b/>
          <w:bCs/>
        </w:rPr>
        <w:t xml:space="preserve">underlying demand remains durable, AI is becoming economically meaningful, and the recent acquisitions are strengthening rather than obscuring the growth story</w:t>
      </w:r>
      <w:r>
        <w:t xml:space="preserve">.</w:t>
      </w:r>
    </w:p>
    <w:p>
      <w:r>
        <w:pict>
          <v:rect style="width:0;height:1.5pt" o:hralign="center" o:hrstd="t" o:hr="t"/>
        </w:pict>
      </w:r>
    </w:p>
    <w:bookmarkEnd w:id="10"/>
    <w:bookmarkStart w:id="13" w:name="the-numbers-to-know"/>
    <w:p>
      <w:pPr>
        <w:pStyle w:val="Heading2"/>
      </w:pPr>
      <w:r>
        <w:t xml:space="preserve">The numbers to know</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Management’s Q2 guidance</w:t>
            </w:r>
          </w:p>
        </w:tc>
        <w:tc>
          <w:tcPr/>
          <w:p>
            <w:pPr>
              <w:pStyle w:val="Compact"/>
            </w:pPr>
            <w:r>
              <w:t xml:space="preserve">What investors should focus on</w:t>
            </w:r>
          </w:p>
        </w:tc>
      </w:tr>
      <w:tr>
        <w:tc>
          <w:tcPr/>
          <w:p>
            <w:pPr>
              <w:pStyle w:val="Compact"/>
            </w:pPr>
            <w:r>
              <w:t xml:space="preserve">Subscription revenue</w:t>
            </w:r>
          </w:p>
        </w:tc>
        <w:tc>
          <w:tcPr/>
          <w:p>
            <w:pPr>
              <w:pStyle w:val="Compact"/>
              <w:jc w:val="right"/>
            </w:pPr>
            <m:oMath>
              <m:r>
                <m:t>3.815</m:t>
              </m:r>
              <m:r>
                <m:t>B</m:t>
              </m:r>
              <m:r>
                <m:rPr>
                  <m:sty m:val="p"/>
                </m:rPr>
                <m:t>–</m:t>
              </m:r>
            </m:oMath>
            <w:r>
              <w:rPr>
                <w:b/>
                <w:bCs/>
              </w:rPr>
              <w:t xml:space="preserve">3.820B</w:t>
            </w:r>
          </w:p>
        </w:tc>
        <w:tc>
          <w:tcPr/>
          <w:p>
            <w:pPr>
              <w:pStyle w:val="Compact"/>
            </w:pPr>
            <w:r>
              <w:t xml:space="preserve">22.5% reported growth; 21%–21.5% constant currency</w:t>
            </w:r>
          </w:p>
        </w:tc>
      </w:tr>
      <w:tr>
        <w:tc>
          <w:tcPr/>
          <w:p>
            <w:pPr>
              <w:pStyle w:val="Compact"/>
            </w:pPr>
            <w:r>
              <w:t xml:space="preserve">cRPO growth</w:t>
            </w:r>
          </w:p>
        </w:tc>
        <w:tc>
          <w:tcPr/>
          <w:p>
            <w:pPr>
              <w:pStyle w:val="Compact"/>
              <w:jc w:val="right"/>
            </w:pPr>
            <w:r>
              <w:rPr>
                <w:b/>
                <w:bCs/>
              </w:rPr>
              <w:t xml:space="preserve">19% reported / 19.5% constant currency</w:t>
            </w:r>
          </w:p>
        </w:tc>
        <w:tc>
          <w:tcPr/>
          <w:p>
            <w:pPr>
              <w:pStyle w:val="Compact"/>
            </w:pPr>
            <w:r>
              <w:t xml:space="preserve">Best near-term measure of bookings and forward revenue</w:t>
            </w:r>
          </w:p>
        </w:tc>
      </w:tr>
      <w:tr>
        <w:tc>
          <w:tcPr/>
          <w:p>
            <w:pPr>
              <w:pStyle w:val="Compact"/>
            </w:pPr>
            <w:r>
              <w:t xml:space="preserve">Non-GAAP operating margin</w:t>
            </w:r>
          </w:p>
        </w:tc>
        <w:tc>
          <w:tcPr/>
          <w:p>
            <w:pPr>
              <w:pStyle w:val="Compact"/>
              <w:jc w:val="right"/>
            </w:pPr>
            <w:r>
              <w:rPr>
                <w:b/>
                <w:bCs/>
              </w:rPr>
              <w:t xml:space="preserve">26.5%</w:t>
            </w:r>
          </w:p>
        </w:tc>
        <w:tc>
          <w:tcPr/>
          <w:p>
            <w:pPr>
              <w:pStyle w:val="Compact"/>
            </w:pPr>
            <w:r>
              <w:t xml:space="preserve">Includes a 125 bp Armis headwind</w:t>
            </w:r>
          </w:p>
        </w:tc>
      </w:tr>
      <w:tr>
        <w:tc>
          <w:tcPr/>
          <w:p>
            <w:pPr>
              <w:pStyle w:val="Compact"/>
            </w:pPr>
            <w:r>
              <w:t xml:space="preserve">Diluted shares</w:t>
            </w:r>
          </w:p>
        </w:tc>
        <w:tc>
          <w:tcPr/>
          <w:p>
            <w:pPr>
              <w:pStyle w:val="Compact"/>
              <w:jc w:val="right"/>
            </w:pPr>
            <w:r>
              <w:rPr>
                <w:b/>
                <w:bCs/>
              </w:rPr>
              <w:t xml:space="preserve">~1.04B</w:t>
            </w:r>
          </w:p>
        </w:tc>
        <w:tc>
          <w:tcPr/>
          <w:p>
            <w:pPr>
              <w:pStyle w:val="Compact"/>
            </w:pPr>
            <w:r>
              <w:t xml:space="preserve">Buybacks are expected to offset dilution</w:t>
            </w:r>
          </w:p>
        </w:tc>
      </w:tr>
    </w:tbl>
    <w:p>
      <w:pPr>
        <w:pStyle w:val="BodyText"/>
      </w:pPr>
      <w:r>
        <w:t xml:space="preserve">Management’s full-year outlook calls for:</w:t>
      </w:r>
    </w:p>
    <w:p>
      <w:pPr>
        <w:pStyle w:val="Compact"/>
        <w:numPr>
          <w:ilvl w:val="0"/>
          <w:numId w:val="1002"/>
        </w:numPr>
      </w:pPr>
      <w:r>
        <w:rPr>
          <w:b/>
          <w:bCs/>
        </w:rPr>
        <w:t xml:space="preserve">Subscription revenue:</w:t>
      </w:r>
      <w:r>
        <w:t xml:space="preserve"> </w:t>
      </w:r>
      <m:oMath>
        <m:r>
          <m:t>15.735</m:t>
        </m:r>
        <m:r>
          <m:t>B</m:t>
        </m:r>
        <m:r>
          <m:rPr>
            <m:sty m:val="p"/>
          </m:rPr>
          <m:t>–</m:t>
        </m:r>
      </m:oMath>
      <w:r>
        <w:t xml:space="preserve">15.775B.</w:t>
      </w:r>
    </w:p>
    <w:p>
      <w:pPr>
        <w:pStyle w:val="Compact"/>
        <w:numPr>
          <w:ilvl w:val="0"/>
          <w:numId w:val="1002"/>
        </w:numPr>
      </w:pPr>
      <w:r>
        <w:rPr>
          <w:b/>
          <w:bCs/>
        </w:rPr>
        <w:t xml:space="preserve">Constant-currency growth:</w:t>
      </w:r>
      <w:r>
        <w:t xml:space="preserve"> </w:t>
      </w:r>
      <w:r>
        <w:t xml:space="preserve">20.5%–21%.</w:t>
      </w:r>
    </w:p>
    <w:p>
      <w:pPr>
        <w:pStyle w:val="Compact"/>
        <w:numPr>
          <w:ilvl w:val="0"/>
          <w:numId w:val="1002"/>
        </w:numPr>
      </w:pPr>
      <w:r>
        <w:rPr>
          <w:b/>
          <w:bCs/>
        </w:rPr>
        <w:t xml:space="preserve">Subscription gross margin:</w:t>
      </w:r>
      <w:r>
        <w:t xml:space="preserve"> </w:t>
      </w:r>
      <w:r>
        <w:t xml:space="preserve">81.5%.</w:t>
      </w:r>
    </w:p>
    <w:p>
      <w:pPr>
        <w:pStyle w:val="Compact"/>
        <w:numPr>
          <w:ilvl w:val="0"/>
          <w:numId w:val="1002"/>
        </w:numPr>
      </w:pPr>
      <w:r>
        <w:rPr>
          <w:b/>
          <w:bCs/>
        </w:rPr>
        <w:t xml:space="preserve">Operating margin:</w:t>
      </w:r>
      <w:r>
        <w:t xml:space="preserve"> </w:t>
      </w:r>
      <w:r>
        <w:t xml:space="preserve">31.5%.</w:t>
      </w:r>
    </w:p>
    <w:p>
      <w:pPr>
        <w:pStyle w:val="Compact"/>
        <w:numPr>
          <w:ilvl w:val="0"/>
          <w:numId w:val="1002"/>
        </w:numPr>
      </w:pPr>
      <w:r>
        <w:rPr>
          <w:b/>
          <w:bCs/>
        </w:rPr>
        <w:t xml:space="preserve">Free-cash-flow margin:</w:t>
      </w:r>
      <w:r>
        <w:t xml:space="preserve"> </w:t>
      </w:r>
      <w:r>
        <w:t xml:space="preserve">35%.</w:t>
      </w:r>
    </w:p>
    <w:p>
      <w:pPr>
        <w:pStyle w:val="FirstParagraph"/>
      </w:pPr>
      <w:r>
        <w:t xml:space="preserve">The Q2 and full-year revenue growth outlooks include approximately</w:t>
      </w:r>
      <w:r>
        <w:t xml:space="preserve"> </w:t>
      </w:r>
      <w:r>
        <w:rPr>
          <w:b/>
          <w:bCs/>
        </w:rPr>
        <w:t xml:space="preserve">125 basis points from Armis</w:t>
      </w:r>
      <w:r>
        <w:t xml:space="preserve">. (</w:t>
      </w:r>
      <w:hyperlink r:id="rId11">
        <w:r>
          <w:rPr>
            <w:rStyle w:val="Hyperlink"/>
          </w:rPr>
          <w:t xml:space="preserve">investor.servicenow.com</w:t>
        </w:r>
      </w:hyperlink>
      <w:r>
        <w:t xml:space="preserve">)</w:t>
      </w:r>
    </w:p>
    <w:p>
      <w:pPr>
        <w:pStyle w:val="BodyText"/>
      </w:pPr>
      <w:r>
        <w:t xml:space="preserve">Published analyst estimates put Q2 subscription revenue near</w:t>
      </w:r>
      <w:r>
        <w:t xml:space="preserve"> </w:t>
      </w:r>
      <m:oMath>
        <m:r>
          <m:t>3.82</m:t>
        </m:r>
        <m:r>
          <m:t>b</m:t>
        </m:r>
        <m:r>
          <m:t>i</m:t>
        </m:r>
        <m:r>
          <m:t>l</m:t>
        </m:r>
        <m:r>
          <m:t>l</m:t>
        </m:r>
        <m:r>
          <m:t>i</m:t>
        </m:r>
        <m:r>
          <m:t>o</m:t>
        </m:r>
        <m:r>
          <m:t>n</m:t>
        </m:r>
        <m:r>
          <m:rPr>
            <m:sty m:val="p"/>
          </m:rPr>
          <m:t>*</m:t>
        </m:r>
        <m:r>
          <m:rPr>
            <m:sty m:val="p"/>
          </m:rPr>
          <m:t>*</m:t>
        </m:r>
        <m:r>
          <m:t>a</m:t>
        </m:r>
        <m:r>
          <m:t>n</m:t>
        </m:r>
        <m:r>
          <m:t>d</m:t>
        </m:r>
        <m:r>
          <m:t>c</m:t>
        </m:r>
        <m:r>
          <m:t>R</m:t>
        </m:r>
        <m:r>
          <m:t>P</m:t>
        </m:r>
        <m:r>
          <m:t>O</m:t>
        </m:r>
        <m:r>
          <m:t>a</m:t>
        </m:r>
        <m:r>
          <m:t>t</m:t>
        </m:r>
        <m:r>
          <m:t>a</m:t>
        </m:r>
        <m:r>
          <m:t>p</m:t>
        </m:r>
        <m:r>
          <m:t>p</m:t>
        </m:r>
        <m:r>
          <m:t>r</m:t>
        </m:r>
        <m:r>
          <m:t>o</m:t>
        </m:r>
        <m:r>
          <m:t>x</m:t>
        </m:r>
        <m:r>
          <m:t>i</m:t>
        </m:r>
        <m:r>
          <m:t>m</m:t>
        </m:r>
        <m:r>
          <m:t>a</m:t>
        </m:r>
        <m:r>
          <m:t>t</m:t>
        </m:r>
        <m:r>
          <m:t>e</m:t>
        </m:r>
        <m:r>
          <m:t>l</m:t>
        </m:r>
        <m:r>
          <m:t>y</m:t>
        </m:r>
        <m:r>
          <m:rPr>
            <m:sty m:val="p"/>
          </m:rPr>
          <m:t>*</m:t>
        </m:r>
        <m:r>
          <m:rPr>
            <m:sty m:val="p"/>
          </m:rPr>
          <m:t>*</m:t>
        </m:r>
      </m:oMath>
      <w:r>
        <w:rPr>
          <w:b/>
          <w:bCs/>
        </w:rPr>
        <w:t xml:space="preserve">13.03 billion</w:t>
      </w:r>
      <w:r>
        <w:t xml:space="preserve">. That cRPO estimate equates to about 19.3% reported growth—essentially in line with management’s outlook rather than a meaningful beat. (</w:t>
      </w:r>
      <w:hyperlink r:id="rId12">
        <w:r>
          <w:rPr>
            <w:rStyle w:val="Hyperlink"/>
          </w:rPr>
          <w:t xml:space="preserve">zacks.com</w:t>
        </w:r>
      </w:hyperlink>
      <w:r>
        <w:t xml:space="preserve">)</w:t>
      </w:r>
    </w:p>
    <w:p>
      <w:r>
        <w:pict>
          <v:rect style="width:0;height:1.5pt" o:hralign="center" o:hrstd="t" o:hr="t"/>
        </w:pict>
      </w:r>
    </w:p>
    <w:bookmarkEnd w:id="13"/>
    <w:bookmarkStart w:id="16" w:name="the-most-important-metric-organic-crpo"/>
    <w:p>
      <w:pPr>
        <w:pStyle w:val="Heading2"/>
      </w:pPr>
      <w:r>
        <w:t xml:space="preserve">The most important metric: organic cRPO</w:t>
      </w:r>
    </w:p>
    <w:p>
      <w:pPr>
        <w:pStyle w:val="FirstParagraph"/>
      </w:pPr>
      <w:r>
        <w:t xml:space="preserve">Subscription revenue is comparatively predictable because it is largely recognized from contracts signed in prior periods.</w:t>
      </w:r>
      <w:r>
        <w:t xml:space="preserve"> </w:t>
      </w:r>
      <w:r>
        <w:rPr>
          <w:b/>
          <w:bCs/>
        </w:rPr>
        <w:t xml:space="preserve">cRPO is more informative about current selling conditions.</w:t>
      </w:r>
    </w:p>
    <w:p>
      <w:pPr>
        <w:pStyle w:val="BodyText"/>
      </w:pPr>
      <w:r>
        <w:t xml:space="preserve">Management guided to 19.5% constant-currency cRPO growth, including roughly 125 basis points from Armis. That implies an underlying organic growth rate of approximately</w:t>
      </w:r>
      <w:r>
        <w:t xml:space="preserve"> </w:t>
      </w:r>
      <w:r>
        <w:rPr>
          <w:b/>
          <w:bCs/>
        </w:rPr>
        <w:t xml:space="preserve">18.25%</w:t>
      </w:r>
      <w:r>
        <w:t xml:space="preserve">.</w:t>
      </w:r>
    </w:p>
    <w:p>
      <w:pPr>
        <w:pStyle w:val="BodyText"/>
      </w:pPr>
      <w:r>
        <w:t xml:space="preserve">Investors should therefore look beyond the headline cRPO result:</w:t>
      </w:r>
    </w:p>
    <w:p>
      <w:pPr>
        <w:pStyle w:val="Compact"/>
        <w:numPr>
          <w:ilvl w:val="0"/>
          <w:numId w:val="1003"/>
        </w:numPr>
      </w:pPr>
      <w:r>
        <w:rPr>
          <w:b/>
          <w:bCs/>
        </w:rPr>
        <w:t xml:space="preserve">20% growth including Armis</w:t>
      </w:r>
      <w:r>
        <w:t xml:space="preserve"> </w:t>
      </w:r>
      <w:r>
        <w:t xml:space="preserve">would not necessarily represent an organic acceleration.</w:t>
      </w:r>
    </w:p>
    <w:p>
      <w:pPr>
        <w:pStyle w:val="Compact"/>
        <w:numPr>
          <w:ilvl w:val="0"/>
          <w:numId w:val="1003"/>
        </w:numPr>
      </w:pPr>
      <w:r>
        <w:t xml:space="preserve">Management should quantify acquisition effects clearly.</w:t>
      </w:r>
    </w:p>
    <w:p>
      <w:pPr>
        <w:pStyle w:val="Compact"/>
        <w:numPr>
          <w:ilvl w:val="0"/>
          <w:numId w:val="1003"/>
        </w:numPr>
      </w:pPr>
      <w:r>
        <w:t xml:space="preserve">The market will want evidence that organic cRPO can stabilize near or above the high teens rather than continue decelerating.</w:t>
      </w:r>
    </w:p>
    <w:p>
      <w:pPr>
        <w:pStyle w:val="Compact"/>
        <w:numPr>
          <w:ilvl w:val="0"/>
          <w:numId w:val="1003"/>
        </w:numPr>
      </w:pPr>
      <w:r>
        <w:t xml:space="preserve">Q3 cRPO guidance may matter more than the backward-looking Q2 result.</w:t>
      </w:r>
    </w:p>
    <w:bookmarkStart w:id="15" w:name="my-reaction-framework"/>
    <w:p>
      <w:pPr>
        <w:pStyle w:val="Heading3"/>
      </w:pPr>
      <w:r>
        <w:t xml:space="preserve">My reaction framework</w:t>
      </w:r>
    </w:p>
    <w:p>
      <w:pPr>
        <w:pStyle w:val="Compact"/>
        <w:numPr>
          <w:ilvl w:val="0"/>
          <w:numId w:val="1004"/>
        </w:numPr>
      </w:pPr>
      <w:r>
        <w:rPr>
          <w:b/>
          <w:bCs/>
        </w:rPr>
        <w:t xml:space="preserve">Strong:</w:t>
      </w:r>
      <w:r>
        <w:t xml:space="preserve"> </w:t>
      </w:r>
      <w:r>
        <w:t xml:space="preserve">At least ~20.5% constant-currency cRPO growth, with underlying organic growth better than implied by guidance.</w:t>
      </w:r>
    </w:p>
    <w:p>
      <w:pPr>
        <w:pStyle w:val="Compact"/>
        <w:numPr>
          <w:ilvl w:val="0"/>
          <w:numId w:val="1004"/>
        </w:numPr>
      </w:pPr>
      <w:r>
        <w:rPr>
          <w:b/>
          <w:bCs/>
        </w:rPr>
        <w:t xml:space="preserve">Acceptable:</w:t>
      </w:r>
      <w:r>
        <w:t xml:space="preserve"> </w:t>
      </w:r>
      <w:r>
        <w:t xml:space="preserve">Approximately 19.5%–20%, accompanied by reassuring Q3 guidance.</w:t>
      </w:r>
    </w:p>
    <w:p>
      <w:pPr>
        <w:pStyle w:val="Compact"/>
        <w:numPr>
          <w:ilvl w:val="0"/>
          <w:numId w:val="1004"/>
        </w:numPr>
      </w:pPr>
      <w:r>
        <w:rPr>
          <w:b/>
          <w:bCs/>
        </w:rPr>
        <w:t xml:space="preserve">Weak:</w:t>
      </w:r>
      <w:r>
        <w:t xml:space="preserve"> </w:t>
      </w:r>
      <w:r>
        <w:t xml:space="preserve">Below 19.5%, or a headline beat that is explained primarily by Armis.</w:t>
      </w:r>
    </w:p>
    <w:p>
      <w:pPr>
        <w:pStyle w:val="FirstParagraph"/>
      </w:pPr>
      <w:r>
        <w:t xml:space="preserve">The absolute reported cRPO threshold for roughly 20% growth is approximately</w:t>
      </w:r>
      <w:r>
        <w:t xml:space="preserve"> </w:t>
      </w:r>
      <w:r>
        <w:rPr>
          <w:b/>
          <w:bCs/>
        </w:rPr>
        <w:t xml:space="preserve">$13.1 billion</w:t>
      </w:r>
      <w:r>
        <w:t xml:space="preserve">, compared with $10.92 billion in Q2 2025. Last year’s Q2 cRPO grew 21.5% in constant currency. (</w:t>
      </w:r>
      <w:hyperlink r:id="rId14">
        <w:r>
          <w:rPr>
            <w:rStyle w:val="Hyperlink"/>
          </w:rPr>
          <w:t xml:space="preserve">investor.servicenow.com</w:t>
        </w:r>
      </w:hyperlink>
      <w:r>
        <w:t xml:space="preserve">)</w:t>
      </w:r>
    </w:p>
    <w:p>
      <w:r>
        <w:pict>
          <v:rect style="width:0;height:1.5pt" o:hralign="center" o:hrstd="t" o:hr="t"/>
        </w:pict>
      </w:r>
    </w:p>
    <w:bookmarkEnd w:id="15"/>
    <w:bookmarkEnd w:id="16"/>
    <w:bookmarkStart w:id="19" w:name="X1c20c5427b490ce358379a6ade070a0c29b4853"/>
    <w:p>
      <w:pPr>
        <w:pStyle w:val="Heading2"/>
      </w:pPr>
      <w:r>
        <w:t xml:space="preserve">Can AI become more than a bookings narrative?</w:t>
      </w:r>
    </w:p>
    <w:p>
      <w:pPr>
        <w:pStyle w:val="FirstParagraph"/>
      </w:pPr>
      <w:r>
        <w:t xml:space="preserve">The central debate is no longer whether ServiceNow has AI products. It is whether AI can become large enough to:</w:t>
      </w:r>
    </w:p>
    <w:p>
      <w:pPr>
        <w:pStyle w:val="Compact"/>
        <w:numPr>
          <w:ilvl w:val="0"/>
          <w:numId w:val="1005"/>
        </w:numPr>
      </w:pPr>
      <w:r>
        <w:t xml:space="preserve">Offset maturation in the core IT workflow business.</w:t>
      </w:r>
    </w:p>
    <w:p>
      <w:pPr>
        <w:pStyle w:val="Compact"/>
        <w:numPr>
          <w:ilvl w:val="0"/>
          <w:numId w:val="1005"/>
        </w:numPr>
      </w:pPr>
      <w:r>
        <w:t xml:space="preserve">Expand customer budgets rather than cannibalize existing subscriptions.</w:t>
      </w:r>
    </w:p>
    <w:p>
      <w:pPr>
        <w:pStyle w:val="Compact"/>
        <w:numPr>
          <w:ilvl w:val="0"/>
          <w:numId w:val="1005"/>
        </w:numPr>
      </w:pPr>
      <w:r>
        <w:t xml:space="preserve">Produce consumption revenue at attractive margins.</w:t>
      </w:r>
    </w:p>
    <w:p>
      <w:pPr>
        <w:pStyle w:val="Compact"/>
        <w:numPr>
          <w:ilvl w:val="0"/>
          <w:numId w:val="1005"/>
        </w:numPr>
      </w:pPr>
      <w:r>
        <w:t xml:space="preserve">Support management’s long-term revenue-acceleration thesis.</w:t>
      </w:r>
    </w:p>
    <w:p>
      <w:pPr>
        <w:pStyle w:val="FirstParagraph"/>
      </w:pPr>
      <w:r>
        <w:t xml:space="preserve">At Q1, Now Assist ACV exceeded</w:t>
      </w:r>
      <w:r>
        <w:t xml:space="preserve"> </w:t>
      </w:r>
      <m:oMath>
        <m:r>
          <m:t>750</m:t>
        </m:r>
        <m:r>
          <m:t>m</m:t>
        </m:r>
        <m:r>
          <m:t>i</m:t>
        </m:r>
        <m:r>
          <m:t>l</m:t>
        </m:r>
        <m:r>
          <m:t>l</m:t>
        </m:r>
        <m:r>
          <m:t>i</m:t>
        </m:r>
        <m:r>
          <m:t>o</m:t>
        </m:r>
        <m:r>
          <m:t>n</m:t>
        </m:r>
        <m:r>
          <m:rPr>
            <m:sty m:val="p"/>
          </m:rPr>
          <m:t>,</m:t>
        </m:r>
        <m:r>
          <m:t>a</m:t>
        </m:r>
        <m:r>
          <m:t>n</m:t>
        </m:r>
        <m:r>
          <m:t>d</m:t>
        </m:r>
        <m:r>
          <m:t>m</m:t>
        </m:r>
        <m:r>
          <m:t>a</m:t>
        </m:r>
        <m:r>
          <m:t>n</m:t>
        </m:r>
        <m:r>
          <m:t>a</m:t>
        </m:r>
        <m:r>
          <m:t>g</m:t>
        </m:r>
        <m:r>
          <m:t>e</m:t>
        </m:r>
        <m:r>
          <m:t>m</m:t>
        </m:r>
        <m:r>
          <m:t>e</m:t>
        </m:r>
        <m:r>
          <m:t>n</m:t>
        </m:r>
        <m:r>
          <m:t>t</m:t>
        </m:r>
        <m:r>
          <m:t>i</m:t>
        </m:r>
        <m:r>
          <m:t>n</m:t>
        </m:r>
        <m:r>
          <m:t>c</m:t>
        </m:r>
        <m:r>
          <m:t>r</m:t>
        </m:r>
        <m:r>
          <m:t>e</m:t>
        </m:r>
        <m:r>
          <m:t>a</m:t>
        </m:r>
        <m:r>
          <m:t>s</m:t>
        </m:r>
        <m:r>
          <m:t>e</m:t>
        </m:r>
        <m:r>
          <m:t>d</m:t>
        </m:r>
        <m:r>
          <m:t>i</m:t>
        </m:r>
        <m:r>
          <m:t>t</m:t>
        </m:r>
        <m:r>
          <m:t>s</m:t>
        </m:r>
        <m:r>
          <m:t>2026</m:t>
        </m:r>
        <m:r>
          <m:t>A</m:t>
        </m:r>
        <m:r>
          <m:t>I</m:t>
        </m:r>
        <m:r>
          <m:t>A</m:t>
        </m:r>
        <m:r>
          <m:t>C</m:t>
        </m:r>
        <m:r>
          <m:t>V</m:t>
        </m:r>
        <m:r>
          <m:t>t</m:t>
        </m:r>
        <m:r>
          <m:t>a</m:t>
        </m:r>
        <m:r>
          <m:t>r</m:t>
        </m:r>
        <m:r>
          <m:t>g</m:t>
        </m:r>
        <m:r>
          <m:t>e</m:t>
        </m:r>
        <m:r>
          <m:t>t</m:t>
        </m:r>
        <m:r>
          <m:t>f</m:t>
        </m:r>
        <m:r>
          <m:t>r</m:t>
        </m:r>
        <m:r>
          <m:t>o</m:t>
        </m:r>
        <m:r>
          <m:t>m</m:t>
        </m:r>
        <m:r>
          <m:rPr>
            <m:sty m:val="p"/>
          </m:rPr>
          <m:t>*</m:t>
        </m:r>
        <m:r>
          <m:rPr>
            <m:sty m:val="p"/>
          </m:rPr>
          <m:t>*</m:t>
        </m:r>
      </m:oMath>
      <w:r>
        <w:t xml:space="preserve">1 billion to $1.5 billion**. ServiceNow also said customers spending more than $1 million on Now Assist grew more than 130% year over year. (</w:t>
      </w:r>
      <w:hyperlink r:id="rId11">
        <w:r>
          <w:rPr>
            <w:rStyle w:val="Hyperlink"/>
          </w:rPr>
          <w:t xml:space="preserve">investor.servicenow.com</w:t>
        </w:r>
      </w:hyperlink>
      <w:r>
        <w:t xml:space="preserve">)</w:t>
      </w:r>
    </w:p>
    <w:p>
      <w:pPr>
        <w:pStyle w:val="BodyText"/>
      </w:pPr>
      <w:r>
        <w:t xml:space="preserve">Useful Q2 disclosures would include:</w:t>
      </w:r>
    </w:p>
    <w:p>
      <w:pPr>
        <w:pStyle w:val="Compact"/>
        <w:numPr>
          <w:ilvl w:val="0"/>
          <w:numId w:val="1006"/>
        </w:numPr>
      </w:pPr>
      <w:r>
        <w:t xml:space="preserve">Current Now Assist or broader AI ACV.</w:t>
      </w:r>
    </w:p>
    <w:p>
      <w:pPr>
        <w:pStyle w:val="Compact"/>
        <w:numPr>
          <w:ilvl w:val="0"/>
          <w:numId w:val="1006"/>
        </w:numPr>
      </w:pPr>
      <w:r>
        <w:t xml:space="preserve">Progress against the $1.5 billion target.</w:t>
      </w:r>
    </w:p>
    <w:p>
      <w:pPr>
        <w:pStyle w:val="Compact"/>
        <w:numPr>
          <w:ilvl w:val="0"/>
          <w:numId w:val="1006"/>
        </w:numPr>
      </w:pPr>
      <w:r>
        <w:t xml:space="preserve">Number of customers spending more than $1 million on AI.</w:t>
      </w:r>
    </w:p>
    <w:p>
      <w:pPr>
        <w:pStyle w:val="Compact"/>
        <w:numPr>
          <w:ilvl w:val="0"/>
          <w:numId w:val="1006"/>
        </w:numPr>
      </w:pPr>
      <w:r>
        <w:t xml:space="preserve">Expansion rates for existing AI customers.</w:t>
      </w:r>
    </w:p>
    <w:p>
      <w:pPr>
        <w:pStyle w:val="Compact"/>
        <w:numPr>
          <w:ilvl w:val="0"/>
          <w:numId w:val="1006"/>
        </w:numPr>
      </w:pPr>
      <w:r>
        <w:t xml:space="preserve">Assist consumption above bundled entitlements.</w:t>
      </w:r>
    </w:p>
    <w:p>
      <w:pPr>
        <w:pStyle w:val="Compact"/>
        <w:numPr>
          <w:ilvl w:val="0"/>
          <w:numId w:val="1006"/>
        </w:numPr>
      </w:pPr>
      <w:r>
        <w:t xml:space="preserve">Adoption of AI Control Tower, EmployeeWorks and autonomous workers.</w:t>
      </w:r>
    </w:p>
    <w:p>
      <w:pPr>
        <w:pStyle w:val="Compact"/>
        <w:numPr>
          <w:ilvl w:val="0"/>
          <w:numId w:val="1006"/>
        </w:numPr>
      </w:pPr>
      <w:r>
        <w:t xml:space="preserve">The share of net-new ACV tied to non-seat-based pricing.</w:t>
      </w:r>
    </w:p>
    <w:p>
      <w:pPr>
        <w:pStyle w:val="FirstParagraph"/>
      </w:pPr>
      <w:r>
        <w:t xml:space="preserve">Management said at its May analyst day that more than half of net-new business was already using hybrid or non-seat-based metrics. It also laid out a 2030 target of</w:t>
      </w:r>
      <w:r>
        <w:t xml:space="preserve"> </w:t>
      </w:r>
      <w:r>
        <w:rPr>
          <w:b/>
          <w:bCs/>
        </w:rPr>
        <w:t xml:space="preserve">more than $30 billion in subscription revenue</w:t>
      </w:r>
      <w:r>
        <w:t xml:space="preserve">, with AI representing over 30% of ACV. (</w:t>
      </w:r>
      <w:hyperlink r:id="rId17">
        <w:r>
          <w:rPr>
            <w:rStyle w:val="Hyperlink"/>
          </w:rPr>
          <w:t xml:space="preserve">newsroom.servicenow.com</w:t>
        </w:r>
      </w:hyperlink>
      <w:r>
        <w:t xml:space="preserve">)</w:t>
      </w:r>
    </w:p>
    <w:bookmarkStart w:id="18" w:name="what-would-count-as-real-proof"/>
    <w:p>
      <w:pPr>
        <w:pStyle w:val="Heading3"/>
      </w:pPr>
      <w:r>
        <w:t xml:space="preserve">What would count as real proof?</w:t>
      </w:r>
    </w:p>
    <w:p>
      <w:pPr>
        <w:pStyle w:val="FirstParagraph"/>
      </w:pPr>
      <w:r>
        <w:t xml:space="preserve">A simple reaffirmation of the $1.5 billion AI target would be fine but not transformative. More convincing evidence would be:</w:t>
      </w:r>
    </w:p>
    <w:p>
      <w:pPr>
        <w:pStyle w:val="Compact"/>
        <w:numPr>
          <w:ilvl w:val="0"/>
          <w:numId w:val="1007"/>
        </w:numPr>
      </w:pPr>
      <w:r>
        <w:t xml:space="preserve">A target increase.</w:t>
      </w:r>
    </w:p>
    <w:p>
      <w:pPr>
        <w:pStyle w:val="Compact"/>
        <w:numPr>
          <w:ilvl w:val="0"/>
          <w:numId w:val="1007"/>
        </w:numPr>
      </w:pPr>
      <w:r>
        <w:t xml:space="preserve">Faster-than-planned customer consumption.</w:t>
      </w:r>
    </w:p>
    <w:p>
      <w:pPr>
        <w:pStyle w:val="Compact"/>
        <w:numPr>
          <w:ilvl w:val="0"/>
          <w:numId w:val="1007"/>
        </w:numPr>
      </w:pPr>
      <w:r>
        <w:t xml:space="preserve">Meaningful AI-driven renewal uplifts.</w:t>
      </w:r>
    </w:p>
    <w:p>
      <w:pPr>
        <w:pStyle w:val="Compact"/>
        <w:numPr>
          <w:ilvl w:val="0"/>
          <w:numId w:val="1007"/>
        </w:numPr>
      </w:pPr>
      <w:r>
        <w:t xml:space="preserve">Autonomous workers replacing labor budgets rather than competing only for software budgets.</w:t>
      </w:r>
    </w:p>
    <w:p>
      <w:pPr>
        <w:pStyle w:val="Compact"/>
        <w:numPr>
          <w:ilvl w:val="0"/>
          <w:numId w:val="1007"/>
        </w:numPr>
      </w:pPr>
      <w:r>
        <w:t xml:space="preserve">AI products pulling through core ITSM, data, CRM and security sales.</w:t>
      </w:r>
    </w:p>
    <w:p>
      <w:r>
        <w:pict>
          <v:rect style="width:0;height:1.5pt" o:hralign="center" o:hrstd="t" o:hr="t"/>
        </w:pict>
      </w:r>
    </w:p>
    <w:bookmarkEnd w:id="18"/>
    <w:bookmarkEnd w:id="19"/>
    <w:bookmarkStart w:id="24" w:name="core-demand-still-matters"/>
    <w:p>
      <w:pPr>
        <w:pStyle w:val="Heading2"/>
      </w:pPr>
      <w:r>
        <w:t xml:space="preserve">Core demand still matters</w:t>
      </w:r>
    </w:p>
    <w:p>
      <w:pPr>
        <w:pStyle w:val="FirstParagraph"/>
      </w:pPr>
      <w:r>
        <w:t xml:space="preserve">ServiceNow’s AI positioning cannot compensate for deterioration in its traditional enterprise workflow franchise. Investors should monitor:</w:t>
      </w:r>
    </w:p>
    <w:bookmarkStart w:id="20" w:name="renewal-rate"/>
    <w:p>
      <w:pPr>
        <w:pStyle w:val="Heading3"/>
      </w:pPr>
      <w:r>
        <w:t xml:space="preserve">Renewal rate</w:t>
      </w:r>
    </w:p>
    <w:p>
      <w:pPr>
        <w:pStyle w:val="FirstParagraph"/>
      </w:pPr>
      <w:r>
        <w:t xml:space="preserve">The Q1 renewal rate was</w:t>
      </w:r>
      <w:r>
        <w:t xml:space="preserve"> </w:t>
      </w:r>
      <w:r>
        <w:rPr>
          <w:b/>
          <w:bCs/>
        </w:rPr>
        <w:t xml:space="preserve">97%</w:t>
      </w:r>
      <w:r>
        <w:t xml:space="preserve">, down from 98% a year earlier. That remains strong in absolute terms, but further slippage would reinforce concerns about customer optimization or seat compression.</w:t>
      </w:r>
    </w:p>
    <w:bookmarkEnd w:id="20"/>
    <w:bookmarkStart w:id="21" w:name="large-deals"/>
    <w:p>
      <w:pPr>
        <w:pStyle w:val="Heading3"/>
      </w:pPr>
      <w:r>
        <w:t xml:space="preserve">Large deals</w:t>
      </w:r>
    </w:p>
    <w:p>
      <w:pPr>
        <w:pStyle w:val="FirstParagraph"/>
      </w:pPr>
      <w:r>
        <w:t xml:space="preserve">Q1 included:</w:t>
      </w:r>
    </w:p>
    <w:p>
      <w:pPr>
        <w:pStyle w:val="Compact"/>
        <w:numPr>
          <w:ilvl w:val="0"/>
          <w:numId w:val="1008"/>
        </w:numPr>
      </w:pPr>
      <w:r>
        <w:t xml:space="preserve">16 deals above $5 million in net-new ACV.</w:t>
      </w:r>
    </w:p>
    <w:p>
      <w:pPr>
        <w:pStyle w:val="Compact"/>
        <w:numPr>
          <w:ilvl w:val="0"/>
          <w:numId w:val="1008"/>
        </w:numPr>
      </w:pPr>
      <w:r>
        <w:t xml:space="preserve">Five deals above $10 million.</w:t>
      </w:r>
    </w:p>
    <w:p>
      <w:pPr>
        <w:pStyle w:val="Compact"/>
        <w:numPr>
          <w:ilvl w:val="0"/>
          <w:numId w:val="1008"/>
        </w:numPr>
      </w:pPr>
      <w:r>
        <w:t xml:space="preserve">The company’s largest-ever new-logo deal, above $15 million.</w:t>
      </w:r>
    </w:p>
    <w:p>
      <w:pPr>
        <w:pStyle w:val="Compact"/>
        <w:numPr>
          <w:ilvl w:val="0"/>
          <w:numId w:val="1008"/>
        </w:numPr>
      </w:pPr>
      <w:r>
        <w:t xml:space="preserve">More than 50% growth in new-logo ACV.</w:t>
      </w:r>
    </w:p>
    <w:p>
      <w:pPr>
        <w:pStyle w:val="FirstParagraph"/>
      </w:pPr>
      <w:r>
        <w:t xml:space="preserve">The Q2 update should show whether large-deal activity remained healthy or whether sales cycles lengthened.</w:t>
      </w:r>
    </w:p>
    <w:bookmarkEnd w:id="21"/>
    <w:bookmarkStart w:id="22" w:name="middle-east-deal-timing"/>
    <w:p>
      <w:pPr>
        <w:pStyle w:val="Heading3"/>
      </w:pPr>
      <w:r>
        <w:t xml:space="preserve">Middle East deal timing</w:t>
      </w:r>
    </w:p>
    <w:p>
      <w:pPr>
        <w:pStyle w:val="FirstParagraph"/>
      </w:pPr>
      <w:r>
        <w:t xml:space="preserve">Q1 subscription revenue faced an estimated 75-basis-point headwind from delayed self-hosted deals in the Middle East. Management said some had already closed early in Q2 and expected no lasting impact. Investors should verify that those transactions were recovered rather than deferred again.</w:t>
      </w:r>
    </w:p>
    <w:bookmarkEnd w:id="22"/>
    <w:bookmarkStart w:id="23" w:name="product-breadth"/>
    <w:p>
      <w:pPr>
        <w:pStyle w:val="Heading3"/>
      </w:pPr>
      <w:r>
        <w:t xml:space="preserve">Product breadth</w:t>
      </w:r>
    </w:p>
    <w:p>
      <w:pPr>
        <w:pStyle w:val="FirstParagraph"/>
      </w:pPr>
      <w:r>
        <w:t xml:space="preserve">Particularly important growth areas are:</w:t>
      </w:r>
    </w:p>
    <w:p>
      <w:pPr>
        <w:pStyle w:val="Compact"/>
        <w:numPr>
          <w:ilvl w:val="0"/>
          <w:numId w:val="1009"/>
        </w:numPr>
      </w:pPr>
      <w:r>
        <w:rPr>
          <w:b/>
          <w:bCs/>
        </w:rPr>
        <w:t xml:space="preserve">Security and risk</w:t>
      </w:r>
    </w:p>
    <w:p>
      <w:pPr>
        <w:pStyle w:val="Compact"/>
        <w:numPr>
          <w:ilvl w:val="0"/>
          <w:numId w:val="1009"/>
        </w:numPr>
      </w:pPr>
      <w:r>
        <w:rPr>
          <w:b/>
          <w:bCs/>
        </w:rPr>
        <w:t xml:space="preserve">CRM and CPQ</w:t>
      </w:r>
    </w:p>
    <w:p>
      <w:pPr>
        <w:pStyle w:val="Compact"/>
        <w:numPr>
          <w:ilvl w:val="0"/>
          <w:numId w:val="1009"/>
        </w:numPr>
      </w:pPr>
      <w:r>
        <w:rPr>
          <w:b/>
          <w:bCs/>
        </w:rPr>
        <w:t xml:space="preserve">EmployeeWorks</w:t>
      </w:r>
    </w:p>
    <w:p>
      <w:pPr>
        <w:pStyle w:val="Compact"/>
        <w:numPr>
          <w:ilvl w:val="0"/>
          <w:numId w:val="1009"/>
        </w:numPr>
      </w:pPr>
      <w:r>
        <w:rPr>
          <w:b/>
          <w:bCs/>
        </w:rPr>
        <w:t xml:space="preserve">Workflow Data Fabric</w:t>
      </w:r>
    </w:p>
    <w:p>
      <w:pPr>
        <w:pStyle w:val="Compact"/>
        <w:numPr>
          <w:ilvl w:val="0"/>
          <w:numId w:val="1009"/>
        </w:numPr>
      </w:pPr>
      <w:r>
        <w:rPr>
          <w:b/>
          <w:bCs/>
        </w:rPr>
        <w:t xml:space="preserve">RaptorDB Pro</w:t>
      </w:r>
    </w:p>
    <w:p>
      <w:pPr>
        <w:pStyle w:val="Compact"/>
        <w:numPr>
          <w:ilvl w:val="0"/>
          <w:numId w:val="1009"/>
        </w:numPr>
      </w:pPr>
      <w:r>
        <w:rPr>
          <w:b/>
          <w:bCs/>
        </w:rPr>
        <w:t xml:space="preserve">AI Control Tower</w:t>
      </w:r>
    </w:p>
    <w:p>
      <w:pPr>
        <w:pStyle w:val="FirstParagraph"/>
      </w:pPr>
      <w:r>
        <w:t xml:space="preserve">ServiceNow needs these newer categories to grow faster than its mature ITSM products while preserving its platform-level cross-sell advantage.</w:t>
      </w:r>
    </w:p>
    <w:p>
      <w:r>
        <w:pict>
          <v:rect style="width:0;height:1.5pt" o:hralign="center" o:hrstd="t" o:hr="t"/>
        </w:pict>
      </w:r>
    </w:p>
    <w:bookmarkEnd w:id="23"/>
    <w:bookmarkEnd w:id="24"/>
    <w:bookmarkStart w:id="26" w:name="X2677faa3c0ead77a2f1fac549d77682ee4468c5"/>
    <w:p>
      <w:pPr>
        <w:pStyle w:val="Heading2"/>
      </w:pPr>
      <w:r>
        <w:t xml:space="preserve">Armis is both the opportunity and the complication</w:t>
      </w:r>
    </w:p>
    <w:p>
      <w:pPr>
        <w:pStyle w:val="FirstParagraph"/>
      </w:pPr>
      <w:r>
        <w:t xml:space="preserve">ServiceNow completed the acquisition of Armis on April 20 for approximately</w:t>
      </w:r>
      <w:r>
        <w:t xml:space="preserve"> </w:t>
      </w:r>
      <w:r>
        <w:rPr>
          <w:b/>
          <w:bCs/>
        </w:rPr>
        <w:t xml:space="preserve">$7.75 billion in cash</w:t>
      </w:r>
      <w:r>
        <w:t xml:space="preserve">, funded with cash and debt. Armis extends ServiceNow into cyber-asset exposure across IT, operational technology, IoT, medical devices and cloud infrastructure. ServiceNow expects the acquisition to more than triple its addressable security-and-risk market. (</w:t>
      </w:r>
      <w:hyperlink r:id="rId25">
        <w:r>
          <w:rPr>
            <w:rStyle w:val="Hyperlink"/>
          </w:rPr>
          <w:t xml:space="preserve">investor.servicenow.com</w:t>
        </w:r>
      </w:hyperlink>
      <w:r>
        <w:t xml:space="preserve">)</w:t>
      </w:r>
    </w:p>
    <w:p>
      <w:pPr>
        <w:pStyle w:val="BodyText"/>
      </w:pPr>
      <w:r>
        <w:t xml:space="preserve">Q2 is the first quarter in which Armis will materially affect the results. Investors need clarity on four issues:</w:t>
      </w:r>
    </w:p>
    <w:p>
      <w:pPr>
        <w:pStyle w:val="Compact"/>
        <w:numPr>
          <w:ilvl w:val="0"/>
          <w:numId w:val="1010"/>
        </w:numPr>
      </w:pPr>
      <w:r>
        <w:rPr>
          <w:b/>
          <w:bCs/>
        </w:rPr>
        <w:t xml:space="preserve">Revenue contribution:</w:t>
      </w:r>
      <w:r>
        <w:t xml:space="preserve"> </w:t>
      </w:r>
      <w:r>
        <w:t xml:space="preserve">Precisely how much subscription revenue and cRPO came from Armis?</w:t>
      </w:r>
    </w:p>
    <w:p>
      <w:pPr>
        <w:pStyle w:val="Compact"/>
        <w:numPr>
          <w:ilvl w:val="0"/>
          <w:numId w:val="1010"/>
        </w:numPr>
      </w:pPr>
      <w:r>
        <w:rPr>
          <w:b/>
          <w:bCs/>
        </w:rPr>
        <w:t xml:space="preserve">Cross-selling:</w:t>
      </w:r>
      <w:r>
        <w:t xml:space="preserve"> </w:t>
      </w:r>
      <w:r>
        <w:t xml:space="preserve">Is ServiceNow’s sales force already generating incremental Armis pipeline?</w:t>
      </w:r>
    </w:p>
    <w:p>
      <w:pPr>
        <w:pStyle w:val="Compact"/>
        <w:numPr>
          <w:ilvl w:val="0"/>
          <w:numId w:val="1010"/>
        </w:numPr>
      </w:pPr>
      <w:r>
        <w:rPr>
          <w:b/>
          <w:bCs/>
        </w:rPr>
        <w:t xml:space="preserve">Integration:</w:t>
      </w:r>
      <w:r>
        <w:t xml:space="preserve"> </w:t>
      </w:r>
      <w:r>
        <w:t xml:space="preserve">Are Armis, Veza and ServiceNow security products being sold as a coherent platform?</w:t>
      </w:r>
    </w:p>
    <w:p>
      <w:pPr>
        <w:pStyle w:val="Compact"/>
        <w:numPr>
          <w:ilvl w:val="0"/>
          <w:numId w:val="1010"/>
        </w:numPr>
      </w:pPr>
      <w:r>
        <w:rPr>
          <w:b/>
          <w:bCs/>
        </w:rPr>
        <w:t xml:space="preserve">Margins:</w:t>
      </w:r>
      <w:r>
        <w:t xml:space="preserve"> </w:t>
      </w:r>
      <w:r>
        <w:t xml:space="preserve">Is integration tracking toward management’s cost assumptions?</w:t>
      </w:r>
    </w:p>
    <w:p>
      <w:pPr>
        <w:pStyle w:val="FirstParagraph"/>
      </w:pPr>
      <w:r>
        <w:t xml:space="preserve">Management has already embedded acquisition pressure in guidance:</w:t>
      </w:r>
    </w:p>
    <w:p>
      <w:pPr>
        <w:pStyle w:val="Compact"/>
        <w:numPr>
          <w:ilvl w:val="0"/>
          <w:numId w:val="1011"/>
        </w:numPr>
      </w:pPr>
      <w:r>
        <w:t xml:space="preserve">125 bp Q2 operating-margin headwind.</w:t>
      </w:r>
    </w:p>
    <w:p>
      <w:pPr>
        <w:pStyle w:val="Compact"/>
        <w:numPr>
          <w:ilvl w:val="0"/>
          <w:numId w:val="1011"/>
        </w:numPr>
      </w:pPr>
      <w:r>
        <w:t xml:space="preserve">75 bp full-year operating-margin headwind.</w:t>
      </w:r>
    </w:p>
    <w:p>
      <w:pPr>
        <w:pStyle w:val="Compact"/>
        <w:numPr>
          <w:ilvl w:val="0"/>
          <w:numId w:val="1011"/>
        </w:numPr>
      </w:pPr>
      <w:r>
        <w:t xml:space="preserve">200 bp full-year free-cash-flow-margin headwind.</w:t>
      </w:r>
    </w:p>
    <w:p>
      <w:pPr>
        <w:pStyle w:val="Compact"/>
        <w:numPr>
          <w:ilvl w:val="0"/>
          <w:numId w:val="1011"/>
        </w:numPr>
      </w:pPr>
      <w:r>
        <w:t xml:space="preserve">25 bp full-year subscription gross-margin headwind. (</w:t>
      </w:r>
      <w:hyperlink r:id="rId11">
        <w:r>
          <w:rPr>
            <w:rStyle w:val="Hyperlink"/>
          </w:rPr>
          <w:t xml:space="preserve">investor.servicenow.com</w:t>
        </w:r>
      </w:hyperlink>
      <w:r>
        <w:t xml:space="preserve">)</w:t>
      </w:r>
    </w:p>
    <w:p>
      <w:pPr>
        <w:pStyle w:val="FirstParagraph"/>
      </w:pPr>
      <w:r>
        <w:t xml:space="preserve">The company subsequently issued</w:t>
      </w:r>
      <w:r>
        <w:t xml:space="preserve"> </w:t>
      </w:r>
      <w:r>
        <w:rPr>
          <w:b/>
          <w:bCs/>
        </w:rPr>
        <w:t xml:space="preserve">$4 billion of long-term notes</w:t>
      </w:r>
      <w:r>
        <w:t xml:space="preserve">, adding to the importance of disciplined integration and cash generation. This does not create a near-term liquidity concern, but it raises the cost of an underperforming acquisition strategy.</w:t>
      </w:r>
    </w:p>
    <w:p>
      <w:r>
        <w:pict>
          <v:rect style="width:0;height:1.5pt" o:hralign="center" o:hrstd="t" o:hr="t"/>
        </w:pict>
      </w:r>
    </w:p>
    <w:bookmarkEnd w:id="26"/>
    <w:bookmarkStart w:id="27" w:name="margins-cash-flow-and-dilution"/>
    <w:p>
      <w:pPr>
        <w:pStyle w:val="Heading2"/>
      </w:pPr>
      <w:r>
        <w:t xml:space="preserve">Margins, cash flow and dilution</w:t>
      </w:r>
    </w:p>
    <w:p>
      <w:pPr>
        <w:pStyle w:val="FirstParagraph"/>
      </w:pPr>
      <w:r>
        <w:t xml:space="preserve">ServiceNow’s fundamental appeal rests on combining roughly 20% growth with strong and expanding profitability. Q1 produced:</w:t>
      </w:r>
    </w:p>
    <w:p>
      <w:pPr>
        <w:pStyle w:val="Compact"/>
        <w:numPr>
          <w:ilvl w:val="0"/>
          <w:numId w:val="1012"/>
        </w:numPr>
      </w:pPr>
      <w:r>
        <w:t xml:space="preserve">32% non-GAAP operating margin.</w:t>
      </w:r>
    </w:p>
    <w:p>
      <w:pPr>
        <w:pStyle w:val="Compact"/>
        <w:numPr>
          <w:ilvl w:val="0"/>
          <w:numId w:val="1012"/>
        </w:numPr>
      </w:pPr>
      <w:r>
        <w:t xml:space="preserve">44% free-cash-flow margin.</w:t>
      </w:r>
    </w:p>
    <w:p>
      <w:pPr>
        <w:pStyle w:val="Compact"/>
        <w:numPr>
          <w:ilvl w:val="0"/>
          <w:numId w:val="1012"/>
        </w:numPr>
      </w:pPr>
      <w:r>
        <w:t xml:space="preserve">Approximately $1.67 billion of free cash flow.</w:t>
      </w:r>
    </w:p>
    <w:p>
      <w:pPr>
        <w:pStyle w:val="Compact"/>
        <w:numPr>
          <w:ilvl w:val="0"/>
          <w:numId w:val="1012"/>
        </w:numPr>
      </w:pPr>
      <w:r>
        <w:t xml:space="preserve">$2.225 billion of share repurchases.</w:t>
      </w:r>
    </w:p>
    <w:p>
      <w:pPr>
        <w:pStyle w:val="FirstParagraph"/>
      </w:pPr>
      <w:r>
        <w:t xml:space="preserve">However, stock-based compensation remained approximately</w:t>
      </w:r>
      <w:r>
        <w:t xml:space="preserve"> </w:t>
      </w:r>
      <w:r>
        <w:rPr>
          <w:b/>
          <w:bCs/>
        </w:rPr>
        <w:t xml:space="preserve">15% of revenue</w:t>
      </w:r>
      <w:r>
        <w:t xml:space="preserve"> </w:t>
      </w:r>
      <w:r>
        <w:t xml:space="preserve">in Q1. The company’s long-term plan calls for SBC to fall below 10% of revenue by 2029.</w:t>
      </w:r>
    </w:p>
    <w:p>
      <w:pPr>
        <w:pStyle w:val="BodyText"/>
      </w:pPr>
      <w:r>
        <w:t xml:space="preserve">Investors should distinguish between:</w:t>
      </w:r>
    </w:p>
    <w:p>
      <w:pPr>
        <w:pStyle w:val="Compact"/>
        <w:numPr>
          <w:ilvl w:val="0"/>
          <w:numId w:val="1013"/>
        </w:numPr>
      </w:pPr>
      <w:r>
        <w:rPr>
          <w:b/>
          <w:bCs/>
        </w:rPr>
        <w:t xml:space="preserve">True per-share value creation</w:t>
      </w:r>
      <w:r>
        <w:t xml:space="preserve">, and</w:t>
      </w:r>
    </w:p>
    <w:p>
      <w:pPr>
        <w:pStyle w:val="Compact"/>
        <w:numPr>
          <w:ilvl w:val="0"/>
          <w:numId w:val="1013"/>
        </w:numPr>
      </w:pPr>
      <w:r>
        <w:t xml:space="preserve">Buybacks that merely offset employee equity issuance.</w:t>
      </w:r>
    </w:p>
    <w:p>
      <w:pPr>
        <w:pStyle w:val="FirstParagraph"/>
      </w:pPr>
      <w:r>
        <w:t xml:space="preserve">ServiceNow repurchased $2 billion of shares through its accelerated repurchase at an average price of approximately $107.97, modestly above the July 21 closing price. It still had roughly $4.2 billion of authorization remaining at the end of Q1.</w:t>
      </w:r>
    </w:p>
    <w:p>
      <w:pPr>
        <w:pStyle w:val="BodyText"/>
      </w:pPr>
      <w:r>
        <w:t xml:space="preserve">For Q2, maintaining the 26.5% operating-margin target while providing confidence in 2027’s planned margin reacceleration would be a positive result. A small margin beat is less important than evidence that acquired businesses can be integrated without impairing ServiceNow’s long-term Rule-of-60 objective.</w:t>
      </w:r>
    </w:p>
    <w:p>
      <w:r>
        <w:pict>
          <v:rect style="width:0;height:1.5pt" o:hralign="center" o:hrstd="t" o:hr="t"/>
        </w:pict>
      </w:r>
    </w:p>
    <w:bookmarkEnd w:id="27"/>
    <w:bookmarkStart w:id="28" w:name="what-guidance-needs-to-accomplish"/>
    <w:p>
      <w:pPr>
        <w:pStyle w:val="Heading2"/>
      </w:pPr>
      <w:r>
        <w:t xml:space="preserve">What guidance needs to accomplish</w:t>
      </w:r>
    </w:p>
    <w:p>
      <w:pPr>
        <w:pStyle w:val="FirstParagraph"/>
      </w:pPr>
      <w:r>
        <w:t xml:space="preserve">The forward outlook will probably drive the stock more than the Q2 results.</w:t>
      </w:r>
    </w:p>
    <w:p>
      <w:pPr>
        <w:pStyle w:val="BodyText"/>
      </w:pPr>
      <w:r>
        <w:t xml:space="preserve">A constructive guide should include:</w:t>
      </w:r>
    </w:p>
    <w:p>
      <w:pPr>
        <w:pStyle w:val="Compact"/>
        <w:numPr>
          <w:ilvl w:val="0"/>
          <w:numId w:val="1014"/>
        </w:numPr>
      </w:pPr>
      <w:r>
        <w:t xml:space="preserve">Q3 cRPO growth that suggests organic stabilization.</w:t>
      </w:r>
    </w:p>
    <w:p>
      <w:pPr>
        <w:pStyle w:val="Compact"/>
        <w:numPr>
          <w:ilvl w:val="0"/>
          <w:numId w:val="1014"/>
        </w:numPr>
      </w:pPr>
      <w:r>
        <w:t xml:space="preserve">A full-year subscription revenue increase beyond mechanical currency changes.</w:t>
      </w:r>
    </w:p>
    <w:p>
      <w:pPr>
        <w:pStyle w:val="Compact"/>
        <w:numPr>
          <w:ilvl w:val="0"/>
          <w:numId w:val="1014"/>
        </w:numPr>
      </w:pPr>
      <w:r>
        <w:t xml:space="preserve">Clear organic and acquisition revenue bridges.</w:t>
      </w:r>
    </w:p>
    <w:p>
      <w:pPr>
        <w:pStyle w:val="Compact"/>
        <w:numPr>
          <w:ilvl w:val="0"/>
          <w:numId w:val="1014"/>
        </w:numPr>
      </w:pPr>
      <w:r>
        <w:t xml:space="preserve">Reaffirmed or improved operating and free-cash-flow margins.</w:t>
      </w:r>
    </w:p>
    <w:p>
      <w:pPr>
        <w:pStyle w:val="Compact"/>
        <w:numPr>
          <w:ilvl w:val="0"/>
          <w:numId w:val="1014"/>
        </w:numPr>
      </w:pPr>
      <w:r>
        <w:t xml:space="preserve">Confidence in the $1.5 billion AI ACV target.</w:t>
      </w:r>
    </w:p>
    <w:p>
      <w:pPr>
        <w:pStyle w:val="Compact"/>
        <w:numPr>
          <w:ilvl w:val="0"/>
          <w:numId w:val="1014"/>
        </w:numPr>
      </w:pPr>
      <w:r>
        <w:t xml:space="preserve">No deterioration in renewal or large-deal trends.</w:t>
      </w:r>
    </w:p>
    <w:p>
      <w:pPr>
        <w:pStyle w:val="FirstParagraph"/>
      </w:pPr>
      <w:r>
        <w:t xml:space="preserve">The company does not necessarily need to raise every full-year metric. But after Q1’s negative market reaction, management needs to make the</w:t>
      </w:r>
      <w:r>
        <w:t xml:space="preserve"> </w:t>
      </w:r>
      <w:r>
        <w:rPr>
          <w:b/>
          <w:bCs/>
        </w:rPr>
        <w:t xml:space="preserve">organic growth trajectory unusually transparent</w:t>
      </w:r>
      <w:r>
        <w:t xml:space="preserve">.</w:t>
      </w:r>
    </w:p>
    <w:p>
      <w:r>
        <w:pict>
          <v:rect style="width:0;height:1.5pt" o:hralign="center" o:hrstd="t" o:hr="t"/>
        </w:pict>
      </w:r>
    </w:p>
    <w:bookmarkEnd w:id="28"/>
    <w:bookmarkStart w:id="32" w:name="scenario-analysis"/>
    <w:p>
      <w:pPr>
        <w:pStyle w:val="Heading2"/>
      </w:pPr>
      <w:r>
        <w:t xml:space="preserve">Scenario analysis</w:t>
      </w:r>
    </w:p>
    <w:bookmarkStart w:id="29" w:name="bull-case"/>
    <w:p>
      <w:pPr>
        <w:pStyle w:val="Heading3"/>
      </w:pPr>
      <w:r>
        <w:t xml:space="preserve">Bull case</w:t>
      </w:r>
    </w:p>
    <w:p>
      <w:pPr>
        <w:pStyle w:val="Compact"/>
        <w:numPr>
          <w:ilvl w:val="0"/>
          <w:numId w:val="1015"/>
        </w:numPr>
      </w:pPr>
      <w:r>
        <w:t xml:space="preserve">Subscription revenue above roughly $3.84 billion.</w:t>
      </w:r>
    </w:p>
    <w:p>
      <w:pPr>
        <w:pStyle w:val="Compact"/>
        <w:numPr>
          <w:ilvl w:val="0"/>
          <w:numId w:val="1015"/>
        </w:numPr>
      </w:pPr>
      <w:r>
        <w:t xml:space="preserve">Constant-currency cRPO of at least 20.5%.</w:t>
      </w:r>
    </w:p>
    <w:p>
      <w:pPr>
        <w:pStyle w:val="Compact"/>
        <w:numPr>
          <w:ilvl w:val="0"/>
          <w:numId w:val="1015"/>
        </w:numPr>
      </w:pPr>
      <w:r>
        <w:t xml:space="preserve">Organic cRPO better than implied by prior guidance.</w:t>
      </w:r>
    </w:p>
    <w:p>
      <w:pPr>
        <w:pStyle w:val="Compact"/>
        <w:numPr>
          <w:ilvl w:val="0"/>
          <w:numId w:val="1015"/>
        </w:numPr>
      </w:pPr>
      <w:r>
        <w:t xml:space="preserve">AI ACV target raised or described as tracking materially ahead.</w:t>
      </w:r>
    </w:p>
    <w:p>
      <w:pPr>
        <w:pStyle w:val="Compact"/>
        <w:numPr>
          <w:ilvl w:val="0"/>
          <w:numId w:val="1015"/>
        </w:numPr>
      </w:pPr>
      <w:r>
        <w:t xml:space="preserve">Strong EmployeeWorks and AI Control Tower adoption.</w:t>
      </w:r>
    </w:p>
    <w:p>
      <w:pPr>
        <w:pStyle w:val="Compact"/>
        <w:numPr>
          <w:ilvl w:val="0"/>
          <w:numId w:val="1015"/>
        </w:numPr>
      </w:pPr>
      <w:r>
        <w:t xml:space="preserve">Full-year organic subscription outlook raised.</w:t>
      </w:r>
    </w:p>
    <w:p>
      <w:pPr>
        <w:pStyle w:val="Compact"/>
        <w:numPr>
          <w:ilvl w:val="0"/>
          <w:numId w:val="1015"/>
        </w:numPr>
      </w:pPr>
      <w:r>
        <w:t xml:space="preserve">Margins maintained despite acquisition integration.</w:t>
      </w:r>
    </w:p>
    <w:p>
      <w:pPr>
        <w:pStyle w:val="FirstParagraph"/>
      </w:pPr>
      <w:r>
        <w:t xml:space="preserve">This would support the argument that the stock’s software-sector discount has become excessive.</w:t>
      </w:r>
    </w:p>
    <w:bookmarkEnd w:id="29"/>
    <w:bookmarkStart w:id="30" w:name="base-case"/>
    <w:p>
      <w:pPr>
        <w:pStyle w:val="Heading3"/>
      </w:pPr>
      <w:r>
        <w:t xml:space="preserve">Base case</w:t>
      </w:r>
    </w:p>
    <w:p>
      <w:pPr>
        <w:pStyle w:val="Compact"/>
        <w:numPr>
          <w:ilvl w:val="0"/>
          <w:numId w:val="1016"/>
        </w:numPr>
      </w:pPr>
      <w:r>
        <w:t xml:space="preserve">Subscription revenue of approximately</w:t>
      </w:r>
      <w:r>
        <w:t xml:space="preserve"> </w:t>
      </w:r>
      <m:oMath>
        <m:r>
          <m:t>3.82</m:t>
        </m:r>
        <m:r>
          <m:t>B</m:t>
        </m:r>
        <m:r>
          <m:rPr>
            <m:sty m:val="p"/>
          </m:rPr>
          <m:t>–</m:t>
        </m:r>
      </m:oMath>
      <w:r>
        <w:t xml:space="preserve">3.84B.</w:t>
      </w:r>
    </w:p>
    <w:p>
      <w:pPr>
        <w:pStyle w:val="Compact"/>
        <w:numPr>
          <w:ilvl w:val="0"/>
          <w:numId w:val="1016"/>
        </w:numPr>
      </w:pPr>
      <w:r>
        <w:t xml:space="preserve">cRPO growth around 19.5%–20%.</w:t>
      </w:r>
    </w:p>
    <w:p>
      <w:pPr>
        <w:pStyle w:val="Compact"/>
        <w:numPr>
          <w:ilvl w:val="0"/>
          <w:numId w:val="1016"/>
        </w:numPr>
      </w:pPr>
      <w:r>
        <w:t xml:space="preserve">Full-year guidance largely reaffirmed.</w:t>
      </w:r>
    </w:p>
    <w:p>
      <w:pPr>
        <w:pStyle w:val="Compact"/>
        <w:numPr>
          <w:ilvl w:val="0"/>
          <w:numId w:val="1016"/>
        </w:numPr>
      </w:pPr>
      <w:r>
        <w:t xml:space="preserve">AI target reiterated, with encouraging but limited new detail.</w:t>
      </w:r>
    </w:p>
    <w:p>
      <w:pPr>
        <w:pStyle w:val="Compact"/>
        <w:numPr>
          <w:ilvl w:val="0"/>
          <w:numId w:val="1016"/>
        </w:numPr>
      </w:pPr>
      <w:r>
        <w:t xml:space="preserve">Margin guidance maintained.</w:t>
      </w:r>
    </w:p>
    <w:p>
      <w:pPr>
        <w:pStyle w:val="FirstParagraph"/>
      </w:pPr>
      <w:r>
        <w:t xml:space="preserve">Operationally satisfactory, but the stock reaction could be muted because expectations already incorporate a modest beat.</w:t>
      </w:r>
    </w:p>
    <w:bookmarkEnd w:id="30"/>
    <w:bookmarkStart w:id="31" w:name="bear-case"/>
    <w:p>
      <w:pPr>
        <w:pStyle w:val="Heading3"/>
      </w:pPr>
      <w:r>
        <w:t xml:space="preserve">Bear case</w:t>
      </w:r>
    </w:p>
    <w:p>
      <w:pPr>
        <w:pStyle w:val="Compact"/>
        <w:numPr>
          <w:ilvl w:val="0"/>
          <w:numId w:val="1017"/>
        </w:numPr>
      </w:pPr>
      <w:r>
        <w:t xml:space="preserve">cRPO below 19.5%.</w:t>
      </w:r>
    </w:p>
    <w:p>
      <w:pPr>
        <w:pStyle w:val="Compact"/>
        <w:numPr>
          <w:ilvl w:val="0"/>
          <w:numId w:val="1017"/>
        </w:numPr>
      </w:pPr>
      <w:r>
        <w:t xml:space="preserve">Organic growth falls toward or below 18%.</w:t>
      </w:r>
    </w:p>
    <w:p>
      <w:pPr>
        <w:pStyle w:val="Compact"/>
        <w:numPr>
          <w:ilvl w:val="0"/>
          <w:numId w:val="1017"/>
        </w:numPr>
      </w:pPr>
      <w:r>
        <w:t xml:space="preserve">Renewals or large deals weaken.</w:t>
      </w:r>
    </w:p>
    <w:p>
      <w:pPr>
        <w:pStyle w:val="Compact"/>
        <w:numPr>
          <w:ilvl w:val="0"/>
          <w:numId w:val="1017"/>
        </w:numPr>
      </w:pPr>
      <w:r>
        <w:t xml:space="preserve">Delayed transactions fail to close.</w:t>
      </w:r>
    </w:p>
    <w:p>
      <w:pPr>
        <w:pStyle w:val="Compact"/>
        <w:numPr>
          <w:ilvl w:val="0"/>
          <w:numId w:val="1017"/>
        </w:numPr>
      </w:pPr>
      <w:r>
        <w:t xml:space="preserve">AI remains concentrated in contracted ACV with limited consumption.</w:t>
      </w:r>
    </w:p>
    <w:p>
      <w:pPr>
        <w:pStyle w:val="Compact"/>
        <w:numPr>
          <w:ilvl w:val="0"/>
          <w:numId w:val="1017"/>
        </w:numPr>
      </w:pPr>
      <w:r>
        <w:t xml:space="preserve">Guidance relies heavily on Armis or currency.</w:t>
      </w:r>
    </w:p>
    <w:p>
      <w:pPr>
        <w:pStyle w:val="Compact"/>
        <w:numPr>
          <w:ilvl w:val="0"/>
          <w:numId w:val="1017"/>
        </w:numPr>
      </w:pPr>
      <w:r>
        <w:t xml:space="preserve">Additional margin pressure emerges.</w:t>
      </w:r>
    </w:p>
    <w:p>
      <w:pPr>
        <w:pStyle w:val="FirstParagraph"/>
      </w:pPr>
      <w:r>
        <w:t xml:space="preserve">That would reinforce the market’s concern that AI infrastructure and foundation models are capturing spending faster than traditional enterprise application platforms.</w:t>
      </w:r>
    </w:p>
    <w:p>
      <w:r>
        <w:pict>
          <v:rect style="width:0;height:1.5pt" o:hralign="center" o:hrstd="t" o:hr="t"/>
        </w:pict>
      </w:r>
    </w:p>
    <w:bookmarkEnd w:id="31"/>
    <w:bookmarkEnd w:id="32"/>
    <w:bookmarkStart w:id="33" w:name="bottom-line"/>
    <w:p>
      <w:pPr>
        <w:pStyle w:val="Heading2"/>
      </w:pPr>
      <w:r>
        <w:t xml:space="preserve">Bottom line</w:t>
      </w:r>
    </w:p>
    <w:p>
      <w:pPr>
        <w:pStyle w:val="FirstParagraph"/>
      </w:pPr>
      <w:r>
        <w:t xml:space="preserve">This quarter is less about whether ServiceNow can exceed a conservative revenue target and more about whether it can</w:t>
      </w:r>
      <w:r>
        <w:t xml:space="preserve"> </w:t>
      </w:r>
      <w:r>
        <w:rPr>
          <w:b/>
          <w:bCs/>
        </w:rPr>
        <w:t xml:space="preserve">restore confidence in organic growth</w:t>
      </w:r>
      <w:r>
        <w:t xml:space="preserve">.</w:t>
      </w:r>
    </w:p>
    <w:p>
      <w:pPr>
        <w:pStyle w:val="BodyText"/>
      </w:pPr>
      <w:r>
        <w:t xml:space="preserve">The three questions that matter most are:</w:t>
      </w:r>
    </w:p>
    <w:p>
      <w:pPr>
        <w:pStyle w:val="Compact"/>
        <w:numPr>
          <w:ilvl w:val="0"/>
          <w:numId w:val="1018"/>
        </w:numPr>
      </w:pPr>
      <w:r>
        <w:rPr>
          <w:b/>
          <w:bCs/>
        </w:rPr>
        <w:t xml:space="preserve">Is organic cRPO stabilizing?</w:t>
      </w:r>
    </w:p>
    <w:p>
      <w:pPr>
        <w:pStyle w:val="Compact"/>
        <w:numPr>
          <w:ilvl w:val="0"/>
          <w:numId w:val="1018"/>
        </w:numPr>
      </w:pPr>
      <w:r>
        <w:rPr>
          <w:b/>
          <w:bCs/>
        </w:rPr>
        <w:t xml:space="preserve">Is AI adoption translating into measurable consumption and platform expansion?</w:t>
      </w:r>
    </w:p>
    <w:p>
      <w:pPr>
        <w:pStyle w:val="Compact"/>
        <w:numPr>
          <w:ilvl w:val="0"/>
          <w:numId w:val="1018"/>
        </w:numPr>
      </w:pPr>
      <w:r>
        <w:rPr>
          <w:b/>
          <w:bCs/>
        </w:rPr>
        <w:t xml:space="preserve">Can ServiceNow integrate Armis and Veza while preserving its margin and cash-flow model?</w:t>
      </w:r>
    </w:p>
    <w:p>
      <w:pPr>
        <w:pStyle w:val="FirstParagraph"/>
      </w:pPr>
      <w:r>
        <w:t xml:space="preserve">The valuation and stock decline have reduced the consequences of an merely uneventful quarter, but the negative Q1 reaction shows that investors remain skeptical of headline beats lacking organic clarity. For a durable positive re-rating, ServiceNow likely needs a combination of</w:t>
      </w:r>
      <w:r>
        <w:t xml:space="preserve"> </w:t>
      </w:r>
      <w:r>
        <w:rPr>
          <w:b/>
          <w:bCs/>
        </w:rPr>
        <w:t xml:space="preserve">cRPO upside, cleaner acquisition disclosure and tangible evidence that AI is accelerating—not merely relabeling—the growth of the platform.</w:t>
      </w:r>
    </w:p>
    <w:bookmarkEnd w:id="33"/>
    <w:bookmarkEnd w:id="3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1"/>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4" Target="https://investor.servicenow.com/news/news-details/2025/ServiceNow-Reports-Second-Quarter-2025-Financial-Results/default.aspx?utm_source=openai" TargetMode="External" /><Relationship Type="http://schemas.openxmlformats.org/officeDocument/2006/relationships/hyperlink" Id="rId11" Target="https://investor.servicenow.com/news/news-details/2026/ServiceNow-Reports-First-Quarter-2026-Financial-Results/default.aspx?utm_source=openai" TargetMode="External" /><Relationship Type="http://schemas.openxmlformats.org/officeDocument/2006/relationships/hyperlink" Id="rId25" Target="https://investor.servicenow.com/news/news-details/2026/ServiceNow-completes-Armis-acquisition-closing-the-gap-between-asset-visibility-and-cyber-risk/default.aspx?utm_source=openai" TargetMode="External" /><Relationship Type="http://schemas.openxmlformats.org/officeDocument/2006/relationships/hyperlink" Id="rId9" Target="https://newsroom.servicenow.com/press-releases/details/2026/ServiceNow-to-Announce-Second-Quarter-2026-Financial-Results-on-July-22/default.aspx?utm_source=openai" TargetMode="External" /><Relationship Type="http://schemas.openxmlformats.org/officeDocument/2006/relationships/hyperlink" Id="rId17" Target="https://newsroom.servicenow.com/press-releases/details/2026/ServiceNow-turns-enterprise-AI-chaos-into-control-with-the-platform-for-governed-autonomous-work/default.aspx?utm_source=openai" TargetMode="External" /><Relationship Type="http://schemas.openxmlformats.org/officeDocument/2006/relationships/hyperlink" Id="rId12" Target="https://www.zacks.com/stock/news/2956205/unveiling-servicenow-now-q2-outlook-wall-street-estimates-for-key-metrics?utm_source=openai" TargetMode="External" /></Relationships>
</file>

<file path=word/_rels/footnotes.xml.rels><?xml version="1.0" encoding="UTF-8"?><Relationships xmlns="http://schemas.openxmlformats.org/package/2006/relationships"><Relationship Type="http://schemas.openxmlformats.org/officeDocument/2006/relationships/hyperlink" Id="rId14" Target="https://investor.servicenow.com/news/news-details/2025/ServiceNow-Reports-Second-Quarter-2025-Financial-Results/default.aspx?utm_source=openai" TargetMode="External" /><Relationship Type="http://schemas.openxmlformats.org/officeDocument/2006/relationships/hyperlink" Id="rId11" Target="https://investor.servicenow.com/news/news-details/2026/ServiceNow-Reports-First-Quarter-2026-Financial-Results/default.aspx?utm_source=openai" TargetMode="External" /><Relationship Type="http://schemas.openxmlformats.org/officeDocument/2006/relationships/hyperlink" Id="rId25" Target="https://investor.servicenow.com/news/news-details/2026/ServiceNow-completes-Armis-acquisition-closing-the-gap-between-asset-visibility-and-cyber-risk/default.aspx?utm_source=openai" TargetMode="External" /><Relationship Type="http://schemas.openxmlformats.org/officeDocument/2006/relationships/hyperlink" Id="rId9" Target="https://newsroom.servicenow.com/press-releases/details/2026/ServiceNow-to-Announce-Second-Quarter-2026-Financial-Results-on-July-22/default.aspx?utm_source=openai" TargetMode="External" /><Relationship Type="http://schemas.openxmlformats.org/officeDocument/2006/relationships/hyperlink" Id="rId17" Target="https://newsroom.servicenow.com/press-releases/details/2026/ServiceNow-turns-enterprise-AI-chaos-into-control-with-the-platform-for-governed-autonomous-work/default.aspx?utm_source=openai" TargetMode="External" /><Relationship Type="http://schemas.openxmlformats.org/officeDocument/2006/relationships/hyperlink" Id="rId12" Target="https://www.zacks.com/stock/news/2956205/unveiling-servicenow-now-q2-outlook-wall-street-estimates-for-key-metrics?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2026-07-22T00:45:43Z</dcterms:created>
  <dcterms:modified xsi:type="dcterms:W3CDTF">2026-07-22T00:45:43Z</dcterms:modified>
</cp:coreProperties>
</file>

<file path=docProps/custom.xml><?xml version="1.0" encoding="utf-8"?>
<Properties xmlns="http://schemas.openxmlformats.org/officeDocument/2006/custom-properties" xmlns:vt="http://schemas.openxmlformats.org/officeDocument/2006/docPropsVTypes"/>
</file>