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b018de69e0e18e64d37fae8a55560a3685af32"/>
    <w:p>
      <w:pPr>
        <w:pStyle w:val="Heading1"/>
      </w:pPr>
      <w:r>
        <w:t xml:space="preserve">ServiceNow (NYSE: NOW) — 2Q26 Earnings Preview</w:t>
      </w:r>
    </w:p>
    <w:p>
      <w:pPr>
        <w:pStyle w:val="BlockText"/>
      </w:pPr>
      <w:r>
        <w:rPr>
          <w:b/>
          <w:bCs/>
        </w:rPr>
        <w:t xml:space="preserve">Timing note:</w:t>
      </w:r>
      <w:r>
        <w:t xml:space="preserve"> </w:t>
      </w:r>
      <w:r>
        <w:t xml:space="preserve">Today is</w:t>
      </w:r>
      <w:r>
        <w:t xml:space="preserve"> </w:t>
      </w:r>
      <w:r>
        <w:rPr>
          <w:b/>
          <w:bCs/>
        </w:rPr>
        <w:t xml:space="preserve">Wednesday, July 22, 2026</w:t>
      </w:r>
      <w:r>
        <w:t xml:space="preserve">. Accordingly, ServiceNow is scheduled to report</w:t>
      </w:r>
      <w:r>
        <w:t xml:space="preserve"> </w:t>
      </w:r>
      <w:r>
        <w:rPr>
          <w:b/>
          <w:bCs/>
        </w:rPr>
        <w:t xml:space="preserve">after the U.S. market close today</w:t>
      </w:r>
      <w:r>
        <w:t xml:space="preserve">, not tomorrow.</w:t>
      </w:r>
    </w:p>
    <w:bookmarkStart w:id="9" w:name="bottom-line"/>
    <w:p>
      <w:pPr>
        <w:pStyle w:val="Heading2"/>
      </w:pPr>
      <w:r>
        <w:t xml:space="preserve">Bottom line</w:t>
      </w:r>
    </w:p>
    <w:p>
      <w:pPr>
        <w:pStyle w:val="FirstParagraph"/>
      </w:pPr>
      <w:r>
        <w:t xml:space="preserve">ServiceNow enters 2Q26 with a favorable fundamental setup but a demanding</w:t>
      </w:r>
      <w:r>
        <w:t xml:space="preserve"> </w:t>
      </w:r>
      <w:r>
        <w:rPr>
          <w:b/>
          <w:bCs/>
        </w:rPr>
        <w:t xml:space="preserve">proof-of-acceleration</w:t>
      </w:r>
      <w:r>
        <w:t xml:space="preserve"> </w:t>
      </w:r>
      <w:r>
        <w:t xml:space="preserve">burden. The company’s Q1 execution was strong—beating guidance on subscription revenue, cRPO, and operating margin—yet investors focused on whether AI monetization and recent acquisitions can drive a clearer organic-growth reacceleration rather than merely support the existing plan.</w:t>
      </w:r>
    </w:p>
    <w:p>
      <w:pPr>
        <w:pStyle w:val="BodyText"/>
      </w:pPr>
      <w:r>
        <w:t xml:space="preserve">For this report, the key question is not simply whether NOW clears its Q2 guidance. It is whether management can demonstrate that:</w:t>
      </w:r>
    </w:p>
    <w:p>
      <w:pPr>
        <w:pStyle w:val="Compact"/>
        <w:numPr>
          <w:ilvl w:val="0"/>
          <w:numId w:val="1001"/>
        </w:numPr>
      </w:pPr>
      <w:r>
        <w:rPr>
          <w:b/>
          <w:bCs/>
        </w:rPr>
        <w:t xml:space="preserve">AI demand is converting into production deployments and consumption</w:t>
      </w:r>
      <w:r>
        <w:t xml:space="preserve">, not just a large ACV target;</w:t>
      </w:r>
    </w:p>
    <w:p>
      <w:pPr>
        <w:pStyle w:val="Compact"/>
        <w:numPr>
          <w:ilvl w:val="0"/>
          <w:numId w:val="1001"/>
        </w:numPr>
      </w:pPr>
      <w:r>
        <w:rPr>
          <w:b/>
          <w:bCs/>
        </w:rPr>
        <w:t xml:space="preserve">Armis is contributing as planned</w:t>
      </w:r>
      <w:r>
        <w:t xml:space="preserve"> </w:t>
      </w:r>
      <w:r>
        <w:t xml:space="preserve">without creating a more meaningful-than-expected drag on margins or cRPO;</w:t>
      </w:r>
    </w:p>
    <w:p>
      <w:pPr>
        <w:pStyle w:val="Compact"/>
        <w:numPr>
          <w:ilvl w:val="0"/>
          <w:numId w:val="1001"/>
        </w:numPr>
      </w:pPr>
      <w:r>
        <w:t xml:space="preserve">The previously cited</w:t>
      </w:r>
      <w:r>
        <w:t xml:space="preserve"> </w:t>
      </w:r>
      <w:r>
        <w:rPr>
          <w:b/>
          <w:bCs/>
        </w:rPr>
        <w:t xml:space="preserve">Middle East on-premise deal delays are resolving</w:t>
      </w:r>
      <w:r>
        <w:t xml:space="preserve">; and</w:t>
      </w:r>
    </w:p>
    <w:p>
      <w:pPr>
        <w:pStyle w:val="Compact"/>
        <w:numPr>
          <w:ilvl w:val="0"/>
          <w:numId w:val="1001"/>
        </w:numPr>
      </w:pPr>
      <w:r>
        <w:t xml:space="preserve">The company has sufficient momentum to</w:t>
      </w:r>
      <w:r>
        <w:t xml:space="preserve"> </w:t>
      </w:r>
      <w:r>
        <w:rPr>
          <w:b/>
          <w:bCs/>
        </w:rPr>
        <w:t xml:space="preserve">raise, or at least reinforce with unusually strong evidence,</w:t>
      </w:r>
      <w:r>
        <w:t xml:space="preserve"> </w:t>
      </w:r>
      <w:r>
        <w:t xml:space="preserve">its FY26 outlook and longer-term $30B+ 2030 subscription-revenue framework.</w:t>
      </w:r>
    </w:p>
    <w:bookmarkEnd w:id="9"/>
    <w:bookmarkStart w:id="11" w:name="the-numbers-to-anchor-on"/>
    <w:p>
      <w:pPr>
        <w:pStyle w:val="Heading2"/>
      </w:pPr>
      <w:r>
        <w:t xml:space="preserve">The numbers to anchor on</w:t>
      </w:r>
    </w:p>
    <w:bookmarkStart w:id="10" w:name="company-guidance-for-2q26"/>
    <w:p>
      <w:pPr>
        <w:pStyle w:val="Heading3"/>
      </w:pPr>
      <w:r>
        <w:t xml:space="preserve">Company guidance for 2Q26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guidance</w:t>
            </w:r>
          </w:p>
        </w:tc>
        <w:tc>
          <w:tcPr/>
          <w:p>
            <w:pPr>
              <w:pStyle w:val="Compact"/>
            </w:pPr>
            <w:r>
              <w:t xml:space="preserve">What it implies</w:t>
            </w:r>
          </w:p>
        </w:tc>
      </w:tr>
      <w:tr>
        <w:tc>
          <w:tcPr/>
          <w:p>
            <w:pPr>
              <w:pStyle w:val="Compact"/>
            </w:pPr>
            <w:r>
              <w:t xml:space="preserve">Subscription revenue</w:t>
            </w:r>
          </w:p>
        </w:tc>
        <w:tc>
          <w:tcPr/>
          <w:p>
            <w:pPr>
              <w:pStyle w:val="Compact"/>
              <w:jc w:val="right"/>
            </w:pPr>
            <m:oMath>
              <m:r>
                <m:t>3.815</m:t>
              </m:r>
              <m:r>
                <m:t>B</m:t>
              </m:r>
              <m:r>
                <m:rPr>
                  <m:sty m:val="p"/>
                </m:rPr>
                <m:t>–</m:t>
              </m:r>
            </m:oMath>
            <w:r>
              <w:rPr>
                <w:b/>
                <w:bCs/>
              </w:rPr>
              <w:t xml:space="preserve">3.820B</w:t>
            </w:r>
          </w:p>
        </w:tc>
        <w:tc>
          <w:tcPr/>
          <w:p>
            <w:pPr>
              <w:pStyle w:val="Compact"/>
            </w:pPr>
            <w:r>
              <w:t xml:space="preserve">22.5% reported growth;</w:t>
            </w:r>
            <w:r>
              <w:t xml:space="preserve"> </w:t>
            </w:r>
            <w:r>
              <w:rPr>
                <w:b/>
                <w:bCs/>
              </w:rPr>
              <w:t xml:space="preserve">21.0%–21.5% constant-currency growth</w:t>
            </w:r>
          </w:p>
        </w:tc>
      </w:tr>
      <w:tr>
        <w:tc>
          <w:tcPr/>
          <w:p>
            <w:pPr>
              <w:pStyle w:val="Compact"/>
            </w:pPr>
            <w:r>
              <w:t xml:space="preserve">cRPO growth</w:t>
            </w:r>
          </w:p>
        </w:tc>
        <w:tc>
          <w:tcPr/>
          <w:p>
            <w:pPr>
              <w:pStyle w:val="Compact"/>
              <w:jc w:val="right"/>
            </w:pPr>
            <w:r>
              <w:rPr>
                <w:b/>
                <w:bCs/>
              </w:rPr>
              <w:t xml:space="preserve">19.0% reported / 19.5% constant currency</w:t>
            </w:r>
          </w:p>
        </w:tc>
        <w:tc>
          <w:tcPr/>
          <w:p>
            <w:pPr>
              <w:pStyle w:val="Compact"/>
            </w:pPr>
            <w:r>
              <w:t xml:space="preserve">A deceleration from 1Q26’s 22.5% reported / 21% CC growth</w:t>
            </w:r>
          </w:p>
        </w:tc>
      </w:tr>
      <w:tr>
        <w:tc>
          <w:tcPr/>
          <w:p>
            <w:pPr>
              <w:pStyle w:val="Compact"/>
            </w:pPr>
            <w:r>
              <w:t xml:space="preserve">Non-GAAP operating margin</w:t>
            </w:r>
          </w:p>
        </w:tc>
        <w:tc>
          <w:tcPr/>
          <w:p>
            <w:pPr>
              <w:pStyle w:val="Compact"/>
              <w:jc w:val="right"/>
            </w:pPr>
            <w:r>
              <w:rPr>
                <w:b/>
                <w:bCs/>
              </w:rPr>
              <w:t xml:space="preserve">26.5%</w:t>
            </w:r>
          </w:p>
        </w:tc>
        <w:tc>
          <w:tcPr/>
          <w:p>
            <w:pPr>
              <w:pStyle w:val="Compact"/>
            </w:pPr>
            <w:r>
              <w:t xml:space="preserve">Includes an estimated</w:t>
            </w:r>
            <w:r>
              <w:t xml:space="preserve"> </w:t>
            </w:r>
            <w:r>
              <w:rPr>
                <w:b/>
                <w:bCs/>
              </w:rPr>
              <w:t xml:space="preserve">125 bp drag from Armis</w:t>
            </w:r>
          </w:p>
        </w:tc>
      </w:tr>
      <w:tr>
        <w:tc>
          <w:tcPr/>
          <w:p>
            <w:pPr>
              <w:pStyle w:val="Compact"/>
            </w:pPr>
            <w:r>
              <w:t xml:space="preserve">FY26 subscription revenue</w:t>
            </w:r>
          </w:p>
        </w:tc>
        <w:tc>
          <w:tcPr/>
          <w:p>
            <w:pPr>
              <w:pStyle w:val="Compact"/>
              <w:jc w:val="right"/>
            </w:pPr>
            <m:oMath>
              <m:r>
                <m:t>15.735</m:t>
              </m:r>
              <m:r>
                <m:t>B</m:t>
              </m:r>
              <m:r>
                <m:rPr>
                  <m:sty m:val="p"/>
                </m:rPr>
                <m:t>–</m:t>
              </m:r>
            </m:oMath>
            <w:r>
              <w:rPr>
                <w:b/>
                <w:bCs/>
              </w:rPr>
              <w:t xml:space="preserve">15.775B</w:t>
            </w:r>
          </w:p>
        </w:tc>
        <w:tc>
          <w:tcPr/>
          <w:p>
            <w:pPr>
              <w:pStyle w:val="Compact"/>
            </w:pPr>
            <w:r>
              <w:t xml:space="preserve">20.5%–21.0% constant-currency growth</w:t>
            </w:r>
          </w:p>
        </w:tc>
      </w:tr>
      <w:tr>
        <w:tc>
          <w:tcPr/>
          <w:p>
            <w:pPr>
              <w:pStyle w:val="Compact"/>
            </w:pPr>
            <w:r>
              <w:t xml:space="preserve">FY26 non-GAAP operating margin</w:t>
            </w:r>
          </w:p>
        </w:tc>
        <w:tc>
          <w:tcPr/>
          <w:p>
            <w:pPr>
              <w:pStyle w:val="Compact"/>
              <w:jc w:val="right"/>
            </w:pPr>
            <w:r>
              <w:rPr>
                <w:b/>
                <w:bCs/>
              </w:rPr>
              <w:t xml:space="preserve">31.5%</w:t>
            </w:r>
          </w:p>
        </w:tc>
        <w:tc>
          <w:tcPr/>
          <w:p>
            <w:pPr>
              <w:pStyle w:val="Compact"/>
            </w:pPr>
            <w:r>
              <w:t xml:space="preserve">Includes a 75 bp Armis headwind</w:t>
            </w:r>
          </w:p>
        </w:tc>
      </w:tr>
      <w:tr>
        <w:tc>
          <w:tcPr/>
          <w:p>
            <w:pPr>
              <w:pStyle w:val="Compact"/>
            </w:pPr>
            <w:r>
              <w:t xml:space="preserve">FY26 free-cash-flow margin</w:t>
            </w:r>
          </w:p>
        </w:tc>
        <w:tc>
          <w:tcPr/>
          <w:p>
            <w:pPr>
              <w:pStyle w:val="Compact"/>
              <w:jc w:val="right"/>
            </w:pPr>
            <w:r>
              <w:rPr>
                <w:b/>
                <w:bCs/>
              </w:rPr>
              <w:t xml:space="preserve">35%</w:t>
            </w:r>
          </w:p>
        </w:tc>
        <w:tc>
          <w:tcPr/>
          <w:p>
            <w:pPr>
              <w:pStyle w:val="Compact"/>
            </w:pPr>
            <w:r>
              <w:t xml:space="preserve">Includes a 200 bp Armis headwind</w:t>
            </w:r>
          </w:p>
        </w:tc>
      </w:tr>
    </w:tbl>
    <w:p>
      <w:pPr>
        <w:pStyle w:val="BodyText"/>
      </w:pPr>
      <w:r>
        <w:t xml:space="preserve">The bar is therefore clear: subscription revenue needs to land above roughly</w:t>
      </w:r>
      <w:r>
        <w:t xml:space="preserve"> </w:t>
      </w:r>
      <w:r>
        <w:rPr>
          <w:b/>
          <w:bCs/>
        </w:rPr>
        <w:t xml:space="preserve">$3.82B</w:t>
      </w:r>
      <w:r>
        <w:t xml:space="preserve">, cRPO needs to hold around or above the 19.5% constant-currency guide, and margins need to demonstrate that integration costs remain contained.</w:t>
      </w:r>
    </w:p>
    <w:bookmarkEnd w:id="10"/>
    <w:bookmarkEnd w:id="11"/>
    <w:bookmarkStart w:id="12" w:name="X695177f30475531151e8eee64d9e136ee147b64"/>
    <w:p>
      <w:pPr>
        <w:pStyle w:val="Heading2"/>
      </w:pPr>
      <w:r>
        <w:t xml:space="preserve">What happened last quarter—and why it matters now</w:t>
      </w:r>
    </w:p>
    <w:p>
      <w:pPr>
        <w:pStyle w:val="FirstParagraph"/>
      </w:pPr>
      <w:r>
        <w:t xml:space="preserve">In 1Q26, ServiceNow delivered:</w:t>
      </w:r>
    </w:p>
    <w:p>
      <w:pPr>
        <w:pStyle w:val="Compact"/>
        <w:numPr>
          <w:ilvl w:val="0"/>
          <w:numId w:val="1002"/>
        </w:numPr>
      </w:pPr>
      <w:r>
        <w:rPr>
          <w:b/>
          <w:bCs/>
        </w:rPr>
        <w:t xml:space="preserve">$3.671B</w:t>
      </w:r>
      <w:r>
        <w:t xml:space="preserve"> </w:t>
      </w:r>
      <w:r>
        <w:t xml:space="preserve">of subscription revenue, up</w:t>
      </w:r>
      <w:r>
        <w:t xml:space="preserve"> </w:t>
      </w:r>
      <w:r>
        <w:rPr>
          <w:b/>
          <w:bCs/>
        </w:rPr>
        <w:t xml:space="preserve">22% reported</w:t>
      </w:r>
      <w:r>
        <w:t xml:space="preserve"> </w:t>
      </w:r>
      <w:r>
        <w:t xml:space="preserve">and</w:t>
      </w:r>
      <w:r>
        <w:t xml:space="preserve"> </w:t>
      </w:r>
      <w:r>
        <w:rPr>
          <w:b/>
          <w:bCs/>
        </w:rPr>
        <w:t xml:space="preserve">19% constant currency</w:t>
      </w:r>
      <w:r>
        <w:t xml:space="preserve">;</w:t>
      </w:r>
    </w:p>
    <w:p>
      <w:pPr>
        <w:pStyle w:val="Compact"/>
        <w:numPr>
          <w:ilvl w:val="0"/>
          <w:numId w:val="1002"/>
        </w:numPr>
      </w:pPr>
      <w:r>
        <w:rPr>
          <w:b/>
          <w:bCs/>
        </w:rPr>
        <w:t xml:space="preserve">$12.64B</w:t>
      </w:r>
      <w:r>
        <w:t xml:space="preserve"> </w:t>
      </w:r>
      <w:r>
        <w:t xml:space="preserve">of cRPO, up</w:t>
      </w:r>
      <w:r>
        <w:t xml:space="preserve"> </w:t>
      </w:r>
      <w:r>
        <w:rPr>
          <w:b/>
          <w:bCs/>
        </w:rPr>
        <w:t xml:space="preserve">22.5% reported</w:t>
      </w:r>
      <w:r>
        <w:t xml:space="preserve"> </w:t>
      </w:r>
      <w:r>
        <w:t xml:space="preserve">and</w:t>
      </w:r>
      <w:r>
        <w:t xml:space="preserve"> </w:t>
      </w:r>
      <w:r>
        <w:rPr>
          <w:b/>
          <w:bCs/>
        </w:rPr>
        <w:t xml:space="preserve">21% constant currency</w:t>
      </w:r>
      <w:r>
        <w:t xml:space="preserve">;</w:t>
      </w:r>
    </w:p>
    <w:p>
      <w:pPr>
        <w:pStyle w:val="Compact"/>
        <w:numPr>
          <w:ilvl w:val="0"/>
          <w:numId w:val="1002"/>
        </w:numPr>
      </w:pPr>
      <w:r>
        <w:rPr>
          <w:b/>
          <w:bCs/>
        </w:rPr>
        <w:t xml:space="preserve">32.0%</w:t>
      </w:r>
      <w:r>
        <w:t xml:space="preserve"> </w:t>
      </w:r>
      <w:r>
        <w:t xml:space="preserve">non-GAAP operating margin, 50 bp above guidance;</w:t>
      </w:r>
    </w:p>
    <w:p>
      <w:pPr>
        <w:pStyle w:val="Compact"/>
        <w:numPr>
          <w:ilvl w:val="0"/>
          <w:numId w:val="1002"/>
        </w:numPr>
      </w:pPr>
      <w:r>
        <w:rPr>
          <w:b/>
          <w:bCs/>
        </w:rPr>
        <w:t xml:space="preserve">$1.665B</w:t>
      </w:r>
      <w:r>
        <w:t xml:space="preserve"> </w:t>
      </w:r>
      <w:r>
        <w:t xml:space="preserve">of free cash flow, or a</w:t>
      </w:r>
      <w:r>
        <w:t xml:space="preserve"> </w:t>
      </w:r>
      <w:r>
        <w:rPr>
          <w:b/>
          <w:bCs/>
        </w:rPr>
        <w:t xml:space="preserve">44%</w:t>
      </w:r>
      <w:r>
        <w:t xml:space="preserve"> </w:t>
      </w:r>
      <w:r>
        <w:t xml:space="preserve">margin;</w:t>
      </w:r>
    </w:p>
    <w:p>
      <w:pPr>
        <w:pStyle w:val="Compact"/>
        <w:numPr>
          <w:ilvl w:val="0"/>
          <w:numId w:val="1002"/>
        </w:numPr>
      </w:pPr>
      <w:r>
        <w:t xml:space="preserve">16 net-new ACV transactions above $5M, including five above $10M;</w:t>
      </w:r>
    </w:p>
    <w:p>
      <w:pPr>
        <w:pStyle w:val="Compact"/>
        <w:numPr>
          <w:ilvl w:val="0"/>
          <w:numId w:val="1002"/>
        </w:numPr>
      </w:pPr>
      <w:r>
        <w:t xml:space="preserve">630 customers with more than $5M of ACV.</w:t>
      </w:r>
    </w:p>
    <w:p>
      <w:pPr>
        <w:pStyle w:val="FirstParagraph"/>
      </w:pPr>
      <w:r>
        <w:t xml:space="preserve">Those figures confirmed solid enterprise demand and strong execution. However, the market focused on the fact that the FY26 guide was effectively maintained organically, with the increase primarily reflecting Armis. NOW fell about</w:t>
      </w:r>
      <w:r>
        <w:t xml:space="preserve"> </w:t>
      </w:r>
      <w:r>
        <w:rPr>
          <w:b/>
          <w:bCs/>
        </w:rPr>
        <w:t xml:space="preserve">17.7%</w:t>
      </w:r>
      <w:r>
        <w:t xml:space="preserve"> </w:t>
      </w:r>
      <w:r>
        <w:t xml:space="preserve">from the April 22 close through the following trading day. The shares subsequently recovered but remained below their late-May high going into earnings.</w:t>
      </w:r>
    </w:p>
    <w:p>
      <w:pPr>
        <w:pStyle w:val="BodyText"/>
      </w:pPr>
      <w:r>
        <w:t xml:space="preserve">That response frames the setup: investors likely need evidence that AI, pricing, and new product categories are producing a more visible</w:t>
      </w:r>
      <w:r>
        <w:t xml:space="preserve"> </w:t>
      </w:r>
      <w:r>
        <w:rPr>
          <w:b/>
          <w:bCs/>
        </w:rPr>
        <w:t xml:space="preserve">organic</w:t>
      </w:r>
      <w:r>
        <w:t xml:space="preserve"> </w:t>
      </w:r>
      <w:r>
        <w:t xml:space="preserve">growth inflection.</w:t>
      </w:r>
    </w:p>
    <w:p>
      <w:r>
        <w:pict>
          <v:rect style="width:0;height:1.5pt" o:hralign="center" o:hrstd="t" o:hr="t"/>
        </w:pict>
      </w:r>
    </w:p>
    <w:bookmarkEnd w:id="12"/>
    <w:bookmarkStart w:id="17" w:name="the-four-most-important-items-to-watch"/>
    <w:p>
      <w:pPr>
        <w:pStyle w:val="Heading2"/>
      </w:pPr>
      <w:r>
        <w:t xml:space="preserve">The four most important items to watch</w:t>
      </w:r>
    </w:p>
    <w:bookmarkStart w:id="13" w:name="X8a96a9ebad0b58d3b69d888694836ed80f32dca"/>
    <w:p>
      <w:pPr>
        <w:pStyle w:val="Heading3"/>
      </w:pPr>
      <w:r>
        <w:t xml:space="preserve">1. cRPO: the cleanest near-term demand signal</w:t>
      </w:r>
    </w:p>
    <w:p>
      <w:pPr>
        <w:pStyle w:val="FirstParagraph"/>
      </w:pPr>
      <w:r>
        <w:t xml:space="preserve">cRPO is likely the most consequential KPI in the release. Management guided to</w:t>
      </w:r>
      <w:r>
        <w:t xml:space="preserve"> </w:t>
      </w:r>
      <w:r>
        <w:rPr>
          <w:b/>
          <w:bCs/>
        </w:rPr>
        <w:t xml:space="preserve">19.5% constant-currency growth</w:t>
      </w:r>
      <w:r>
        <w:t xml:space="preserve">, below 1Q’s 21% pace. A meaningful beat would indicate that large-enterprise deal activity, renewals, and expansion motions remain healthy despite widespread software-budget anxiety.</w:t>
      </w:r>
    </w:p>
    <w:p>
      <w:pPr>
        <w:pStyle w:val="BodyText"/>
      </w:pPr>
      <w:r>
        <w:t xml:space="preserve">A result merely in line with guidance may be acceptable, but it would probably leave open the debate that AI enthusiasm is not yet translating into a faster overall bookings trajectory.</w:t>
      </w:r>
    </w:p>
    <w:p>
      <w:pPr>
        <w:pStyle w:val="BodyText"/>
      </w:pPr>
      <w:r>
        <w:rPr>
          <w:b/>
          <w:bCs/>
        </w:rPr>
        <w:t xml:space="preserve">Important nuance:</w:t>
      </w:r>
      <w:r>
        <w:t xml:space="preserve"> </w:t>
      </w:r>
      <w:r>
        <w:t xml:space="preserve">Armis contributes to cRPO, but some of its contracts contain termination-for-convenience provisions, limiting the contract value that can be included in cRPO. Investors should therefore assess cRPO in the context of that accounting constraint rather than treating it as a complete measure of the acquisition’s commercial contribution.</w:t>
      </w:r>
    </w:p>
    <w:bookmarkEnd w:id="13"/>
    <w:bookmarkStart w:id="14" w:name="X31eacf3e7ad2b0ef456033114af520f3ebf52f5"/>
    <w:p>
      <w:pPr>
        <w:pStyle w:val="Heading3"/>
      </w:pPr>
      <w:r>
        <w:t xml:space="preserve">2. AI monetization: evidence of deployment matters more than another large target</w:t>
      </w:r>
    </w:p>
    <w:p>
      <w:pPr>
        <w:pStyle w:val="FirstParagraph"/>
      </w:pPr>
      <w:r>
        <w:t xml:space="preserve">Management raised its 2026 Now Assist ACV target from</w:t>
      </w:r>
      <w:r>
        <w:t xml:space="preserve"> </w:t>
      </w:r>
      <w:r>
        <w:rPr>
          <w:b/>
          <w:bCs/>
        </w:rPr>
        <w:t xml:space="preserve">$1.0B to</w:t>
      </w:r>
      <w:r>
        <w:rPr>
          <w:b/>
          <w:bCs/>
        </w:rPr>
        <w:t xml:space="preserve"> </w:t>
      </w:r>
      <m:oMath>
        <m:r>
          <m:t>1.5</m:t>
        </m:r>
        <m:r>
          <m:t>B</m:t>
        </m:r>
        <m:r>
          <m:rPr>
            <m:sty m:val="p"/>
          </m:rPr>
          <m:t>*</m:t>
        </m:r>
        <m:r>
          <m:rPr>
            <m:sty m:val="p"/>
          </m:rPr>
          <m:t>*</m:t>
        </m:r>
        <m:r>
          <m:t>i</m:t>
        </m:r>
        <m:r>
          <m:t>n</m:t>
        </m:r>
        <m:r>
          <m:t>Q</m:t>
        </m:r>
        <m:r>
          <m:t>1</m:t>
        </m:r>
        <m:r>
          <m:rPr>
            <m:sty m:val="p"/>
          </m:rPr>
          <m:t>.</m:t>
        </m:r>
        <m:r>
          <m:t>A</m:t>
        </m:r>
        <m:r>
          <m:t>t</m:t>
        </m:r>
        <m:r>
          <m:t>t</m:t>
        </m:r>
        <m:r>
          <m:t>h</m:t>
        </m:r>
        <m:r>
          <m:t>e</m:t>
        </m:r>
        <m:r>
          <m:t>M</m:t>
        </m:r>
        <m:r>
          <m:t>a</m:t>
        </m:r>
        <m:r>
          <m:t>y</m:t>
        </m:r>
        <m:r>
          <m:t>F</m:t>
        </m:r>
        <m:r>
          <m:t>i</m:t>
        </m:r>
        <m:r>
          <m:t>n</m:t>
        </m:r>
        <m:r>
          <m:t>a</m:t>
        </m:r>
        <m:r>
          <m:t>n</m:t>
        </m:r>
        <m:r>
          <m:t>c</m:t>
        </m:r>
        <m:r>
          <m:t>i</m:t>
        </m:r>
        <m:r>
          <m:t>a</m:t>
        </m:r>
        <m:r>
          <m:t>l</m:t>
        </m:r>
        <m:r>
          <m:t>A</m:t>
        </m:r>
        <m:r>
          <m:t>n</m:t>
        </m:r>
        <m:r>
          <m:t>a</m:t>
        </m:r>
        <m:r>
          <m:t>l</m:t>
        </m:r>
        <m:r>
          <m:t>y</m:t>
        </m:r>
        <m:r>
          <m:t>s</m:t>
        </m:r>
        <m:r>
          <m:t>t</m:t>
        </m:r>
        <m:r>
          <m:t>D</m:t>
        </m:r>
        <m:r>
          <m:t>a</m:t>
        </m:r>
        <m:r>
          <m:t>y</m:t>
        </m:r>
        <m:r>
          <m:rPr>
            <m:sty m:val="p"/>
          </m:rPr>
          <m:t>,</m:t>
        </m:r>
        <m:r>
          <m:t>S</m:t>
        </m:r>
        <m:r>
          <m:t>e</m:t>
        </m:r>
        <m:r>
          <m:t>r</m:t>
        </m:r>
        <m:r>
          <m:t>v</m:t>
        </m:r>
        <m:r>
          <m:t>i</m:t>
        </m:r>
        <m:r>
          <m:t>c</m:t>
        </m:r>
        <m:r>
          <m:t>e</m:t>
        </m:r>
        <m:r>
          <m:t>N</m:t>
        </m:r>
        <m:r>
          <m:t>o</m:t>
        </m:r>
        <m:r>
          <m:t>w</m:t>
        </m:r>
        <m:r>
          <m:t>s</m:t>
        </m:r>
        <m:r>
          <m:t>a</m:t>
        </m:r>
        <m:r>
          <m:t>i</m:t>
        </m:r>
        <m:r>
          <m:t>d</m:t>
        </m:r>
        <m:r>
          <m:t>A</m:t>
        </m:r>
        <m:r>
          <m:t>I</m:t>
        </m:r>
        <m:r>
          <m:t>A</m:t>
        </m:r>
        <m:r>
          <m:t>C</m:t>
        </m:r>
        <m:r>
          <m:t>V</m:t>
        </m:r>
        <m:r>
          <m:t>h</m:t>
        </m:r>
        <m:r>
          <m:t>a</m:t>
        </m:r>
        <m:r>
          <m:t>d</m:t>
        </m:r>
        <m:r>
          <m:t>c</m:t>
        </m:r>
        <m:r>
          <m:t>r</m:t>
        </m:r>
        <m:r>
          <m:t>o</m:t>
        </m:r>
        <m:r>
          <m:t>s</m:t>
        </m:r>
        <m:r>
          <m:t>s</m:t>
        </m:r>
        <m:r>
          <m:t>e</m:t>
        </m:r>
        <m:r>
          <m:t>d</m:t>
        </m:r>
        <m:r>
          <m:rPr>
            <m:sty m:val="p"/>
          </m:rPr>
          <m:t>*</m:t>
        </m:r>
        <m:r>
          <m:rPr>
            <m:sty m:val="p"/>
          </m:rPr>
          <m:t>*</m:t>
        </m:r>
      </m:oMath>
      <w:r>
        <w:rPr>
          <w:b/>
          <w:bCs/>
        </w:rPr>
        <w:t xml:space="preserve">750M in Q1</w:t>
      </w:r>
      <w:r>
        <w:t xml:space="preserve"> </w:t>
      </w:r>
      <w:r>
        <w:t xml:space="preserve">and forecast that</w:t>
      </w:r>
      <w:r>
        <w:t xml:space="preserve"> </w:t>
      </w:r>
      <w:r>
        <w:rPr>
          <w:b/>
          <w:bCs/>
        </w:rPr>
        <w:t xml:space="preserve">30% of ACV</w:t>
      </w:r>
      <w:r>
        <w:t xml:space="preserve"> </w:t>
      </w:r>
      <w:r>
        <w:t xml:space="preserve">could come from ServiceNow AI by 2030.</w:t>
      </w:r>
    </w:p>
    <w:p>
      <w:pPr>
        <w:pStyle w:val="BodyText"/>
      </w:pPr>
      <w:r>
        <w:t xml:space="preserve">The Q2 call should clarify whether that thesis is moving from sell-in to usage:</w:t>
      </w:r>
    </w:p>
    <w:p>
      <w:pPr>
        <w:pStyle w:val="Compact"/>
        <w:numPr>
          <w:ilvl w:val="0"/>
          <w:numId w:val="1003"/>
        </w:numPr>
      </w:pPr>
      <w:r>
        <w:t xml:space="preserve">Are customers consuming their initial Assist allocations faster than expected?</w:t>
      </w:r>
    </w:p>
    <w:p>
      <w:pPr>
        <w:pStyle w:val="Compact"/>
        <w:numPr>
          <w:ilvl w:val="0"/>
          <w:numId w:val="1003"/>
        </w:numPr>
      </w:pPr>
      <w:r>
        <w:t xml:space="preserve">Are renewals and expansions producing the stated multi-year consumption ramp?</w:t>
      </w:r>
    </w:p>
    <w:p>
      <w:pPr>
        <w:pStyle w:val="Compact"/>
        <w:numPr>
          <w:ilvl w:val="0"/>
          <w:numId w:val="1003"/>
        </w:numPr>
      </w:pPr>
      <w:r>
        <w:t xml:space="preserve">Is the company seeing measurable adoption of autonomous workers and AI Control Tower?</w:t>
      </w:r>
    </w:p>
    <w:p>
      <w:pPr>
        <w:pStyle w:val="Compact"/>
        <w:numPr>
          <w:ilvl w:val="0"/>
          <w:numId w:val="1003"/>
        </w:numPr>
      </w:pPr>
      <w:r>
        <w:t xml:space="preserve">Is EmployeeWorks/MOVeworks continuing its rapid pipeline and deal growth?</w:t>
      </w:r>
    </w:p>
    <w:p>
      <w:pPr>
        <w:pStyle w:val="Compact"/>
        <w:numPr>
          <w:ilvl w:val="0"/>
          <w:numId w:val="1003"/>
        </w:numPr>
      </w:pPr>
      <w:r>
        <w:t xml:space="preserve">Are customers purchasing AI as a broader platform deployment rather than as isolated pilots?</w:t>
      </w:r>
    </w:p>
    <w:p>
      <w:pPr>
        <w:pStyle w:val="FirstParagraph"/>
      </w:pPr>
      <w:r>
        <w:t xml:space="preserve">The strongest signal would be commentary around</w:t>
      </w:r>
      <w:r>
        <w:t xml:space="preserve"> </w:t>
      </w:r>
      <w:r>
        <w:rPr>
          <w:b/>
          <w:bCs/>
        </w:rPr>
        <w:t xml:space="preserve">reloading consumption</w:t>
      </w:r>
      <w:r>
        <w:t xml:space="preserve">, production go-lives, and repeatable autonomous-worker deployments—not simply additional product announcements.</w:t>
      </w:r>
    </w:p>
    <w:bookmarkEnd w:id="14"/>
    <w:bookmarkStart w:id="15" w:name="Xab7b0c0b16eac1cfcac920cb429fad2d8ca274d"/>
    <w:p>
      <w:pPr>
        <w:pStyle w:val="Heading3"/>
      </w:pPr>
      <w:r>
        <w:t xml:space="preserve">3. Armis: first full-quarter contribution versus integration and margin pressure</w:t>
      </w:r>
    </w:p>
    <w:p>
      <w:pPr>
        <w:pStyle w:val="FirstParagraph"/>
      </w:pPr>
      <w:r>
        <w:t xml:space="preserve">Armis closed on</w:t>
      </w:r>
      <w:r>
        <w:t xml:space="preserve"> </w:t>
      </w:r>
      <w:r>
        <w:rPr>
          <w:b/>
          <w:bCs/>
        </w:rPr>
        <w:t xml:space="preserve">April 20</w:t>
      </w:r>
      <w:r>
        <w:t xml:space="preserve">, making Q2 the first meaningful quarter of reported contribution. Management expects it to add roughly</w:t>
      </w:r>
      <w:r>
        <w:t xml:space="preserve"> </w:t>
      </w:r>
      <w:r>
        <w:rPr>
          <w:b/>
          <w:bCs/>
        </w:rPr>
        <w:t xml:space="preserve">125 bp</w:t>
      </w:r>
      <w:r>
        <w:t xml:space="preserve"> </w:t>
      </w:r>
      <w:r>
        <w:t xml:space="preserve">to Q2 subscription-revenue growth and cRPO growth, while depressing Q2 operating margin by roughly</w:t>
      </w:r>
      <w:r>
        <w:t xml:space="preserve"> </w:t>
      </w:r>
      <w:r>
        <w:rPr>
          <w:b/>
          <w:bCs/>
        </w:rPr>
        <w:t xml:space="preserve">125 bp</w:t>
      </w:r>
      <w:r>
        <w:t xml:space="preserve">.</w:t>
      </w:r>
    </w:p>
    <w:p>
      <w:pPr>
        <w:pStyle w:val="BodyText"/>
      </w:pPr>
      <w:r>
        <w:t xml:space="preserve">Investors should listen for:</w:t>
      </w:r>
    </w:p>
    <w:p>
      <w:pPr>
        <w:pStyle w:val="Compact"/>
        <w:numPr>
          <w:ilvl w:val="0"/>
          <w:numId w:val="1004"/>
        </w:numPr>
      </w:pPr>
      <w:r>
        <w:t xml:space="preserve">Initial cross-sell pipeline and customer reception;</w:t>
      </w:r>
    </w:p>
    <w:p>
      <w:pPr>
        <w:pStyle w:val="Compact"/>
        <w:numPr>
          <w:ilvl w:val="0"/>
          <w:numId w:val="1004"/>
        </w:numPr>
      </w:pPr>
      <w:r>
        <w:t xml:space="preserve">The pace at which Armis is being integrated with ServiceNow’s security, CMDB, AI Control Tower, and workflow offerings;</w:t>
      </w:r>
    </w:p>
    <w:p>
      <w:pPr>
        <w:pStyle w:val="Compact"/>
        <w:numPr>
          <w:ilvl w:val="0"/>
          <w:numId w:val="1004"/>
        </w:numPr>
      </w:pPr>
      <w:r>
        <w:t xml:space="preserve">Whether Armis is creating incremental demand for the legacy ServiceNow platform;</w:t>
      </w:r>
    </w:p>
    <w:p>
      <w:pPr>
        <w:pStyle w:val="Compact"/>
        <w:numPr>
          <w:ilvl w:val="0"/>
          <w:numId w:val="1004"/>
        </w:numPr>
      </w:pPr>
      <w:r>
        <w:t xml:space="preserve">Confirmation that FY26 margin headwinds are temporary and that margin expansion can normalize in 2027.</w:t>
      </w:r>
    </w:p>
    <w:p>
      <w:pPr>
        <w:pStyle w:val="FirstParagraph"/>
      </w:pPr>
      <w:r>
        <w:t xml:space="preserve">At the Financial Analyst Day, ServiceNow positioned Armis, Veza, and its existing security products as a unified security architecture spanning cyber assets, identity/access, enterprise context, and automated remediation. That strategic logic is compelling—but Q2 is an early checkpoint on commercial execution.</w:t>
      </w:r>
    </w:p>
    <w:bookmarkEnd w:id="15"/>
    <w:bookmarkStart w:id="16" w:name="X5abd3a69f0d9b27d46b6b2a2d65ce518156f81d"/>
    <w:p>
      <w:pPr>
        <w:pStyle w:val="Heading3"/>
      </w:pPr>
      <w:r>
        <w:t xml:space="preserve">4. Middle East deal timing and the broader enterprise-spending backdrop</w:t>
      </w:r>
    </w:p>
    <w:p>
      <w:pPr>
        <w:pStyle w:val="FirstParagraph"/>
      </w:pPr>
      <w:r>
        <w:t xml:space="preserve">In Q1, ServiceNow cited approximately</w:t>
      </w:r>
      <w:r>
        <w:t xml:space="preserve"> </w:t>
      </w:r>
      <w:r>
        <w:rPr>
          <w:b/>
          <w:bCs/>
        </w:rPr>
        <w:t xml:space="preserve">75 bp</w:t>
      </w:r>
      <w:r>
        <w:t xml:space="preserve"> </w:t>
      </w:r>
      <w:r>
        <w:t xml:space="preserve">of subscription-revenue growth headwind from delayed large on-premise Middle East transactions amid regional conflict. Management indicated that some of those deals had already closed in Q2, while retaining a prudent view of the geopolitical backdrop.</w:t>
      </w:r>
    </w:p>
    <w:p>
      <w:pPr>
        <w:pStyle w:val="BodyText"/>
      </w:pPr>
      <w:r>
        <w:t xml:space="preserve">This is worth watching because on-premise revenue recognition can be lumpy. A recovery in those transactions could help the Q2 outcome, but investors will want to distinguish between:</w:t>
      </w:r>
    </w:p>
    <w:p>
      <w:pPr>
        <w:pStyle w:val="Compact"/>
        <w:numPr>
          <w:ilvl w:val="0"/>
          <w:numId w:val="1005"/>
        </w:numPr>
      </w:pPr>
      <w:r>
        <w:t xml:space="preserve">A timing-driven benefit from delayed deals closing; and</w:t>
      </w:r>
    </w:p>
    <w:p>
      <w:pPr>
        <w:pStyle w:val="Compact"/>
        <w:numPr>
          <w:ilvl w:val="0"/>
          <w:numId w:val="1005"/>
        </w:numPr>
      </w:pPr>
      <w:r>
        <w:t xml:space="preserve">Underlying, broad-based strength in cloud subscriptions, AI, security, CRM, and workflow expansion.</w:t>
      </w:r>
    </w:p>
    <w:p>
      <w:pPr>
        <w:pStyle w:val="FirstParagraph"/>
      </w:pPr>
      <w:r>
        <w:t xml:space="preserve">The broader context also matters. Recent software sentiment has been weak, with investors concerned that AI and security budgets could crowd out traditional software spending. ServiceNow needs to reinforce its central argument: AI is not displacing its core platform, but rather increases the value of its workflow, governance, data, and security layers.</w:t>
      </w:r>
    </w:p>
    <w:p>
      <w:r>
        <w:pict>
          <v:rect style="width:0;height:1.5pt" o:hralign="center" o:hrstd="t" o:hr="t"/>
        </w:pict>
      </w:r>
    </w:p>
    <w:bookmarkEnd w:id="16"/>
    <w:bookmarkEnd w:id="17"/>
    <w:bookmarkStart w:id="18" w:name="Xa4857c428fe20761352e329d3669f699028410f"/>
    <w:p>
      <w:pPr>
        <w:pStyle w:val="Heading2"/>
      </w:pPr>
      <w:r>
        <w:t xml:space="preserve">Why ServiceNow’s AI narrative is differentiated</w:t>
      </w:r>
    </w:p>
    <w:p>
      <w:pPr>
        <w:pStyle w:val="FirstParagraph"/>
      </w:pPr>
      <w:r>
        <w:t xml:space="preserve">The company’s investment case rests on its claim that enterprise AI needs more than a model or chatbot. ServiceNow argues it can provide the</w:t>
      </w:r>
      <w:r>
        <w:t xml:space="preserve"> </w:t>
      </w:r>
      <w:r>
        <w:rPr>
          <w:b/>
          <w:bCs/>
        </w:rPr>
        <w:t xml:space="preserve">context, governance, workflow execution, and cross-system action layer</w:t>
      </w:r>
      <w:r>
        <w:t xml:space="preserve"> </w:t>
      </w:r>
      <w:r>
        <w:t xml:space="preserve">required to deploy AI safely at scale.</w:t>
      </w:r>
    </w:p>
    <w:p>
      <w:pPr>
        <w:pStyle w:val="BodyText"/>
      </w:pPr>
      <w:r>
        <w:t xml:space="preserve">The key components include:</w:t>
      </w:r>
    </w:p>
    <w:p>
      <w:pPr>
        <w:pStyle w:val="Compact"/>
        <w:numPr>
          <w:ilvl w:val="0"/>
          <w:numId w:val="1006"/>
        </w:numPr>
      </w:pPr>
      <w:r>
        <w:rPr>
          <w:b/>
          <w:bCs/>
        </w:rPr>
        <w:t xml:space="preserve">Now Assist:</w:t>
      </w:r>
      <w:r>
        <w:t xml:space="preserve"> </w:t>
      </w:r>
      <w:r>
        <w:t xml:space="preserve">AI embedded across workflows and product tiers;</w:t>
      </w:r>
    </w:p>
    <w:p>
      <w:pPr>
        <w:pStyle w:val="Compact"/>
        <w:numPr>
          <w:ilvl w:val="0"/>
          <w:numId w:val="1006"/>
        </w:numPr>
      </w:pPr>
      <w:r>
        <w:rPr>
          <w:b/>
          <w:bCs/>
        </w:rPr>
        <w:t xml:space="preserve">AI Control Tower:</w:t>
      </w:r>
      <w:r>
        <w:t xml:space="preserve"> </w:t>
      </w:r>
      <w:r>
        <w:t xml:space="preserve">governance and visibility across enterprise AI agents;</w:t>
      </w:r>
    </w:p>
    <w:p>
      <w:pPr>
        <w:pStyle w:val="Compact"/>
        <w:numPr>
          <w:ilvl w:val="0"/>
          <w:numId w:val="1006"/>
        </w:numPr>
      </w:pPr>
      <w:r>
        <w:rPr>
          <w:b/>
          <w:bCs/>
        </w:rPr>
        <w:t xml:space="preserve">EmployeeWorks:</w:t>
      </w:r>
      <w:r>
        <w:t xml:space="preserve"> </w:t>
      </w:r>
      <w:r>
        <w:t xml:space="preserve">the conversational employee front door built with Moveworks;</w:t>
      </w:r>
    </w:p>
    <w:p>
      <w:pPr>
        <w:pStyle w:val="Compact"/>
        <w:numPr>
          <w:ilvl w:val="0"/>
          <w:numId w:val="1006"/>
        </w:numPr>
      </w:pPr>
      <w:r>
        <w:rPr>
          <w:b/>
          <w:bCs/>
        </w:rPr>
        <w:t xml:space="preserve">Autonomous Workforce:</w:t>
      </w:r>
      <w:r>
        <w:t xml:space="preserve"> </w:t>
      </w:r>
      <w:r>
        <w:t xml:space="preserve">AI specialists designed to perform end-to-end job functions;</w:t>
      </w:r>
    </w:p>
    <w:p>
      <w:pPr>
        <w:pStyle w:val="Compact"/>
        <w:numPr>
          <w:ilvl w:val="0"/>
          <w:numId w:val="1006"/>
        </w:numPr>
      </w:pPr>
      <w:r>
        <w:rPr>
          <w:b/>
          <w:bCs/>
        </w:rPr>
        <w:t xml:space="preserve">Workflow Data Fabric / RaptorDB Pro:</w:t>
      </w:r>
      <w:r>
        <w:t xml:space="preserve"> </w:t>
      </w:r>
      <w:r>
        <w:t xml:space="preserve">data connectivity, context, and analytics;</w:t>
      </w:r>
    </w:p>
    <w:p>
      <w:pPr>
        <w:pStyle w:val="Compact"/>
        <w:numPr>
          <w:ilvl w:val="0"/>
          <w:numId w:val="1006"/>
        </w:numPr>
      </w:pPr>
      <w:r>
        <w:rPr>
          <w:b/>
          <w:bCs/>
        </w:rPr>
        <w:t xml:space="preserve">Armis and Veza:</w:t>
      </w:r>
      <w:r>
        <w:t xml:space="preserve"> </w:t>
      </w:r>
      <w:r>
        <w:t xml:space="preserve">cyber-asset discovery and identity/access intelligence;</w:t>
      </w:r>
    </w:p>
    <w:p>
      <w:pPr>
        <w:pStyle w:val="Compact"/>
        <w:numPr>
          <w:ilvl w:val="0"/>
          <w:numId w:val="1006"/>
        </w:numPr>
      </w:pPr>
      <w:r>
        <w:rPr>
          <w:b/>
          <w:bCs/>
        </w:rPr>
        <w:t xml:space="preserve">Action Fabric:</w:t>
      </w:r>
      <w:r>
        <w:t xml:space="preserve"> </w:t>
      </w:r>
      <w:r>
        <w:t xml:space="preserve">a planned monetizable action layer intended to let third-party AI tools invoke governed ServiceNow workflows.</w:t>
      </w:r>
    </w:p>
    <w:p>
      <w:pPr>
        <w:pStyle w:val="FirstParagraph"/>
      </w:pPr>
      <w:r>
        <w:t xml:space="preserve">This framework is strategically attractive because ServiceNow is aiming to monetize the</w:t>
      </w:r>
      <w:r>
        <w:t xml:space="preserve"> </w:t>
      </w:r>
      <w:r>
        <w:rPr>
          <w:b/>
          <w:bCs/>
        </w:rPr>
        <w:t xml:space="preserve">work performed</w:t>
      </w:r>
      <w:r>
        <w:t xml:space="preserve">, not just the number of human software users. Management said more than half of net-new business already uses non-seat-based pricing constructs, including consumption and asset-based models.</w:t>
      </w:r>
    </w:p>
    <w:p>
      <w:pPr>
        <w:pStyle w:val="BodyText"/>
      </w:pPr>
      <w:r>
        <w:t xml:space="preserve">The risk is execution: this is a large architectural and commercial transition, and investors will want proof that customers adopt these capabilities at scale without meaningful pressure on the company’s mature seat-based business.</w:t>
      </w:r>
    </w:p>
    <w:p>
      <w:r>
        <w:pict>
          <v:rect style="width:0;height:1.5pt" o:hralign="center" o:hrstd="t" o:hr="t"/>
        </w:pict>
      </w:r>
    </w:p>
    <w:bookmarkEnd w:id="18"/>
    <w:bookmarkStart w:id="19" w:name="potential-upside-catalysts"/>
    <w:p>
      <w:pPr>
        <w:pStyle w:val="Heading2"/>
      </w:pPr>
      <w:r>
        <w:t xml:space="preserve">Potential upside catalysts</w:t>
      </w:r>
    </w:p>
    <w:p>
      <w:pPr>
        <w:pStyle w:val="Compact"/>
        <w:numPr>
          <w:ilvl w:val="0"/>
          <w:numId w:val="1007"/>
        </w:numPr>
      </w:pPr>
      <w:r>
        <w:rPr>
          <w:b/>
          <w:bCs/>
        </w:rPr>
        <w:t xml:space="preserve">Subscription revenue and cRPO above the high end of guidance.</w:t>
      </w:r>
    </w:p>
    <w:p>
      <w:pPr>
        <w:pStyle w:val="Compact"/>
        <w:numPr>
          <w:ilvl w:val="0"/>
          <w:numId w:val="1007"/>
        </w:numPr>
      </w:pPr>
      <w:r>
        <w:t xml:space="preserve">An</w:t>
      </w:r>
      <w:r>
        <w:t xml:space="preserve"> </w:t>
      </w:r>
      <w:r>
        <w:rPr>
          <w:b/>
          <w:bCs/>
        </w:rPr>
        <w:t xml:space="preserve">FY26 guidance raise excluding, or in addition to, inorganic contribution</w:t>
      </w:r>
      <w:r>
        <w:t xml:space="preserve">.</w:t>
      </w:r>
    </w:p>
    <w:p>
      <w:pPr>
        <w:pStyle w:val="Compact"/>
        <w:numPr>
          <w:ilvl w:val="0"/>
          <w:numId w:val="1007"/>
        </w:numPr>
      </w:pPr>
      <w:r>
        <w:t xml:space="preserve">Evidence that delayed Middle East deals closed and that the core global demand environment remains firm.</w:t>
      </w:r>
    </w:p>
    <w:p>
      <w:pPr>
        <w:pStyle w:val="Compact"/>
        <w:numPr>
          <w:ilvl w:val="0"/>
          <w:numId w:val="1007"/>
        </w:numPr>
      </w:pPr>
      <w:r>
        <w:t xml:space="preserve">Stronger-than-expected AI ACV, consumption, or autonomous-worker deployment metrics.</w:t>
      </w:r>
    </w:p>
    <w:p>
      <w:pPr>
        <w:pStyle w:val="Compact"/>
        <w:numPr>
          <w:ilvl w:val="0"/>
          <w:numId w:val="1007"/>
        </w:numPr>
      </w:pPr>
      <w:r>
        <w:t xml:space="preserve">Early Armis/Veza cross-sell wins or a better-than-expected security pipeline.</w:t>
      </w:r>
    </w:p>
    <w:p>
      <w:pPr>
        <w:pStyle w:val="Compact"/>
        <w:numPr>
          <w:ilvl w:val="0"/>
          <w:numId w:val="1007"/>
        </w:numPr>
      </w:pPr>
      <w:r>
        <w:t xml:space="preserve">Better-than-guided operating margin despite the acquisition-related dilution.</w:t>
      </w:r>
    </w:p>
    <w:p>
      <w:pPr>
        <w:pStyle w:val="Compact"/>
        <w:numPr>
          <w:ilvl w:val="0"/>
          <w:numId w:val="1007"/>
        </w:numPr>
      </w:pPr>
      <w:r>
        <w:t xml:space="preserve">Continued evidence that AI packaging drives higher contract values and broader platform adoption.</w:t>
      </w:r>
    </w:p>
    <w:bookmarkEnd w:id="19"/>
    <w:bookmarkStart w:id="20" w:name="key-downside-risks"/>
    <w:p>
      <w:pPr>
        <w:pStyle w:val="Heading2"/>
      </w:pPr>
      <w:r>
        <w:t xml:space="preserve">Key downside risks</w:t>
      </w:r>
    </w:p>
    <w:p>
      <w:pPr>
        <w:pStyle w:val="Compact"/>
        <w:numPr>
          <w:ilvl w:val="0"/>
          <w:numId w:val="1008"/>
        </w:numPr>
      </w:pPr>
      <w:r>
        <w:t xml:space="preserve">cRPO growth at or below the 19.5% constant-currency guide, particularly if management cites macro-driven elongation in sales cycles.</w:t>
      </w:r>
    </w:p>
    <w:p>
      <w:pPr>
        <w:pStyle w:val="Compact"/>
        <w:numPr>
          <w:ilvl w:val="0"/>
          <w:numId w:val="1008"/>
        </w:numPr>
      </w:pPr>
      <w:r>
        <w:t xml:space="preserve">A Q2 beat driven mainly by delayed on-premise revenue rather than broad subscription momentum.</w:t>
      </w:r>
    </w:p>
    <w:p>
      <w:pPr>
        <w:pStyle w:val="Compact"/>
        <w:numPr>
          <w:ilvl w:val="0"/>
          <w:numId w:val="1008"/>
        </w:numPr>
      </w:pPr>
      <w:r>
        <w:t xml:space="preserve">No organic FY26 raise despite a favorable Q2 outcome.</w:t>
      </w:r>
    </w:p>
    <w:p>
      <w:pPr>
        <w:pStyle w:val="Compact"/>
        <w:numPr>
          <w:ilvl w:val="0"/>
          <w:numId w:val="1008"/>
        </w:numPr>
      </w:pPr>
      <w:r>
        <w:t xml:space="preserve">Weaker-than-expected commentary on AI consumption, deployment velocity, or renewal expansion.</w:t>
      </w:r>
    </w:p>
    <w:p>
      <w:pPr>
        <w:pStyle w:val="Compact"/>
        <w:numPr>
          <w:ilvl w:val="0"/>
          <w:numId w:val="1008"/>
        </w:numPr>
      </w:pPr>
      <w:r>
        <w:t xml:space="preserve">Greater-than-expected Armis-related margin pressure or slower integration.</w:t>
      </w:r>
    </w:p>
    <w:p>
      <w:pPr>
        <w:pStyle w:val="Compact"/>
        <w:numPr>
          <w:ilvl w:val="0"/>
          <w:numId w:val="1008"/>
        </w:numPr>
      </w:pPr>
      <w:r>
        <w:t xml:space="preserve">Increased concern that AI budgets are being allocated to foundation-model providers, cloud infrastructure, or security vendors rather than incremental ServiceNow spend.</w:t>
      </w:r>
    </w:p>
    <w:p>
      <w:pPr>
        <w:pStyle w:val="Compact"/>
        <w:numPr>
          <w:ilvl w:val="0"/>
          <w:numId w:val="1008"/>
        </w:numPr>
      </w:pPr>
      <w:r>
        <w:t xml:space="preserve">New signs of seat compression without a commensurate increase in consumption revenue.</w:t>
      </w:r>
    </w:p>
    <w:p>
      <w:r>
        <w:pict>
          <v:rect style="width:0;height:1.5pt" o:hralign="center" o:hrstd="t" o:hr="t"/>
        </w:pict>
      </w:r>
    </w:p>
    <w:bookmarkEnd w:id="20"/>
    <w:bookmarkStart w:id="21" w:name="investment-takeaway"/>
    <w:p>
      <w:pPr>
        <w:pStyle w:val="Heading2"/>
      </w:pPr>
      <w:r>
        <w:t xml:space="preserve">Investment takeaway</w:t>
      </w:r>
    </w:p>
    <w:p>
      <w:pPr>
        <w:pStyle w:val="FirstParagraph"/>
      </w:pPr>
      <w:r>
        <w:t xml:space="preserve">ServiceNow remains one of the best-positioned large-cap enterprise software companies to benefit from AI because it already sits in mission-critical workflows and has credible assets in orchestration, governance, data, security, and cross-enterprise automation.</w:t>
      </w:r>
    </w:p>
    <w:p>
      <w:pPr>
        <w:pStyle w:val="BodyText"/>
      </w:pPr>
      <w:r>
        <w:t xml:space="preserve">But the stock’s setup going into 2Q26 is less about proving that the base business is healthy—it already is—and more about proving that the next stage of growth is tangible. A routine beat may not be enough. The market is looking for a stronger bridge between:</w:t>
      </w:r>
    </w:p>
    <w:p>
      <w:pPr>
        <w:pStyle w:val="Compact"/>
        <w:numPr>
          <w:ilvl w:val="0"/>
          <w:numId w:val="1009"/>
        </w:numPr>
      </w:pPr>
      <w:r>
        <w:t xml:space="preserve">the</w:t>
      </w:r>
      <w:r>
        <w:t xml:space="preserve"> </w:t>
      </w:r>
      <w:r>
        <w:rPr>
          <w:b/>
          <w:bCs/>
        </w:rPr>
        <w:t xml:space="preserve">$1.5B AI ACV target</w:t>
      </w:r>
      <w:r>
        <w:t xml:space="preserve">,</w:t>
      </w:r>
    </w:p>
    <w:p>
      <w:pPr>
        <w:pStyle w:val="Compact"/>
        <w:numPr>
          <w:ilvl w:val="0"/>
          <w:numId w:val="1009"/>
        </w:numPr>
      </w:pPr>
      <w:r>
        <w:t xml:space="preserve">the</w:t>
      </w:r>
      <w:r>
        <w:t xml:space="preserve"> </w:t>
      </w:r>
      <w:r>
        <w:rPr>
          <w:b/>
          <w:bCs/>
        </w:rPr>
        <w:t xml:space="preserve">Armis/Veza strategic expansion</w:t>
      </w:r>
      <w:r>
        <w:t xml:space="preserve">,</w:t>
      </w:r>
    </w:p>
    <w:p>
      <w:pPr>
        <w:pStyle w:val="Compact"/>
        <w:numPr>
          <w:ilvl w:val="0"/>
          <w:numId w:val="1009"/>
        </w:numPr>
      </w:pPr>
      <w:r>
        <w:t xml:space="preserve">the company’s move toward hybrid consumption pricing, and</w:t>
      </w:r>
    </w:p>
    <w:p>
      <w:pPr>
        <w:pStyle w:val="Compact"/>
        <w:numPr>
          <w:ilvl w:val="0"/>
          <w:numId w:val="1009"/>
        </w:numPr>
      </w:pPr>
      <w:r>
        <w:t xml:space="preserve">a credible path to the</w:t>
      </w:r>
      <w:r>
        <w:t xml:space="preserve"> </w:t>
      </w:r>
      <w:r>
        <w:rPr>
          <w:b/>
          <w:bCs/>
        </w:rPr>
        <w:t xml:space="preserve">$30B+ subscription-revenue target by 2030</w:t>
      </w:r>
      <w:r>
        <w:t xml:space="preserve">.</w:t>
      </w:r>
    </w:p>
    <w:p>
      <w:pPr>
        <w:pStyle w:val="FirstParagraph"/>
      </w:pPr>
      <w:r>
        <w:t xml:space="preserve">In short:</w:t>
      </w:r>
      <w:r>
        <w:t xml:space="preserve"> </w:t>
      </w:r>
      <w:r>
        <w:rPr>
          <w:b/>
          <w:bCs/>
        </w:rPr>
        <w:t xml:space="preserve">watch cRPO, AI consumption/deployments, Armis integration, and the character of any FY26 outlook change.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2026-07-22T00:43:22Z</dcterms:created>
  <dcterms:modified xsi:type="dcterms:W3CDTF">2026-07-22T00:43:22Z</dcterms:modified>
</cp:coreProperties>
</file>

<file path=docProps/custom.xml><?xml version="1.0" encoding="utf-8"?>
<Properties xmlns="http://schemas.openxmlformats.org/officeDocument/2006/custom-properties" xmlns:vt="http://schemas.openxmlformats.org/officeDocument/2006/docPropsVTypes"/>
</file>