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ow-earnings-predictions--2026-07-22"/>
    <w:p>
      <w:pPr>
        <w:pStyle w:val="Heading1"/>
      </w:pPr>
      <w:r>
        <w:t xml:space="preserve">NOW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Subscription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~$3.840B vs. cons $3.817B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cRPO CC Growth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~19.8% vs. cons 19.5%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Subscription Billings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~$3.660B vs. cons $3.772B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Sub Revenue FY 2026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~$15.875B midpoint vs. cons $15.761B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Sub Revenue Q3 2026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4.005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3.970B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Now Assist ACV FY 2026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Q2 update ~$925M, reaffirm $1.5B+ target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(FADE)</w:t>
            </w:r>
          </w:p>
        </w:tc>
        <w:tc>
          <w:tcPr/>
          <w:p>
            <w:pPr>
              <w:pStyle w:val="Compact"/>
            </w:pPr>
            <w:r>
              <w:t xml:space="preserve">FADE — sell-side cuts Q3 estimates as out-period math implies implicit H2 cut; short covering provides partial offset on day 1 but fades over 5 days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2026-07-24T22:19:49Z</dcterms:created>
  <dcterms:modified xsi:type="dcterms:W3CDTF">2026-07-24T22:19:49Z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