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ServiceNow, Inc. (NOW)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ServiceNow, Inc.</w:t>
            </w:r>
          </w:p>
        </w:tc>
      </w:tr>
      <w:tr>
        <w:tc>
          <w:tcPr>
            <w:tcW w:type="dxa" w:w="4320"/>
          </w:tcPr>
          <w:p>
            <w:r>
              <w:rPr>
                <w:rFonts w:ascii="Calibri" w:hAnsi="Calibri"/>
                <w:b/>
                <w:sz w:val="22"/>
              </w:rPr>
              <w:t>Ticker</w:t>
            </w:r>
          </w:p>
        </w:tc>
        <w:tc>
          <w:tcPr>
            <w:tcW w:type="dxa" w:w="4320"/>
          </w:tcPr>
          <w:p>
            <w:r>
              <w:rPr>
                <w:rFonts w:ascii="Calibri" w:hAnsi="Calibri"/>
                <w:sz w:val="22"/>
              </w:rPr>
              <w:t>NOW (NYSE)</w:t>
            </w:r>
          </w:p>
        </w:tc>
      </w:tr>
      <w:tr>
        <w:tc>
          <w:tcPr>
            <w:tcW w:type="dxa" w:w="4320"/>
          </w:tcPr>
          <w:p>
            <w:r>
              <w:rPr>
                <w:rFonts w:ascii="Calibri" w:hAnsi="Calibri"/>
                <w:b/>
                <w:sz w:val="22"/>
              </w:rPr>
              <w:t>Upcoming Earnings Date</w:t>
            </w:r>
          </w:p>
        </w:tc>
        <w:tc>
          <w:tcPr>
            <w:tcW w:type="dxa" w:w="4320"/>
          </w:tcPr>
          <w:p>
            <w:r>
              <w:rPr>
                <w:rFonts w:ascii="Calibri" w:hAnsi="Calibri"/>
                <w:sz w:val="22"/>
              </w:rPr>
              <w:t>July 22, 2026 (After Market Close)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Preparation Date</w:t>
            </w:r>
          </w:p>
        </w:tc>
        <w:tc>
          <w:tcPr>
            <w:tcW w:type="dxa" w:w="4320"/>
          </w:tcPr>
          <w:p>
            <w:r>
              <w:rPr>
                <w:rFonts w:ascii="Calibri" w:hAnsi="Calibri"/>
                <w:sz w:val="22"/>
              </w:rPr>
              <w:t>July 21, 2026</w:t>
            </w:r>
          </w:p>
        </w:tc>
      </w:tr>
      <w:tr>
        <w:tc>
          <w:tcPr>
            <w:tcW w:type="dxa" w:w="4320"/>
          </w:tcPr>
          <w:p>
            <w:r>
              <w:rPr>
                <w:rFonts w:ascii="Calibri" w:hAnsi="Calibri"/>
                <w:b/>
                <w:sz w:val="22"/>
              </w:rPr>
              <w:t>Sector ETF Benchmark</w:t>
            </w:r>
          </w:p>
        </w:tc>
        <w:tc>
          <w:tcPr>
            <w:tcW w:type="dxa" w:w="4320"/>
          </w:tcPr>
          <w:p>
            <w:r>
              <w:rPr>
                <w:rFonts w:ascii="Calibri" w:hAnsi="Calibri"/>
                <w:sz w:val="22"/>
              </w:rPr>
              <w:t>iShares Expanded Tech-Software Sector ETF (IGV)</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 xml:space="preserve">The setup is modestly constructive — consensus sits just above the midpoint of guidance, leaving a narrow but achievable beat corridor — and the single biggest swing factor is whether </w:t>
      </w:r>
      <w:r>
        <w:rPr>
          <w:rFonts w:ascii="Calibri" w:hAnsi="Calibri"/>
          <w:b/>
          <w:color w:val="525866"/>
          <w:sz w:val="22"/>
        </w:rPr>
        <w:t>organic cRPO growth</w:t>
      </w:r>
      <w:r>
        <w:rPr>
          <w:rFonts w:ascii="Calibri" w:hAnsi="Calibri"/>
          <w:color w:val="525866"/>
          <w:sz w:val="22"/>
        </w:rPr>
        <w:t xml:space="preserve"> can hold at or above 19.5% constant currency ex-Armis, signaling that the core platform is accelerating independently of M&amp;A.</w:t>
      </w:r>
    </w:p>
    <w:p>
      <w:r>
        <w:rPr>
          <w:rFonts w:ascii="Calibri" w:hAnsi="Calibri"/>
          <w:color w:val="525866"/>
          <w:sz w:val="22"/>
        </w:rPr>
        <w:t xml:space="preserve">Heading into Q2 2026, ServiceNow's bar is set at subscription revenue of $3.815–$3.820B (21–21.5% CC growth) and cRPO CC growth of 19.5%, both of which embed a 125 bps Armis contribution — meaning the organic ask is roughly 18–18.5% cRPO growth, consistent with Q1's organic delivery. Management's tone at the May 4 Financial Analyst Day was decidedly bullish: the 2026 Now Assist ACV target was raised from $1B to $1.5B, a $30B+ subscription revenue target for 2030 was introduced, and the company committed to Rule of 60+ by 2030 and SBC below 10% of revenue by 2029. Estimate revisions have been essentially flat since the Q1 print — subscription revenue consensus for Q2 sits at $3.817B vs. the $3.815B guidance midpoint, a near-zero delta — suggesting the Street has not yet priced in incremental upside from AI consumption acceleration or the Middle East deal recovery (management noted several slipped on-premise deals had already closed in Q2). </w:t>
      </w:r>
      <w:r>
        <w:rPr>
          <w:rFonts w:ascii="Calibri" w:hAnsi="Calibri"/>
          <w:color w:val="525866"/>
          <w:sz w:val="22"/>
        </w:rPr>
        <w:t>The stock is down ~1% since the Q1 print (April 22) but staged a sharp recovery from the post-earnings trough of ~$85 to ~$102 today, still lagging IGV (+3.5%) and SPY (+5.2%) over the same window, implying the multiple has not fully re-rated despite consistent execution.</w:t>
      </w:r>
      <w:r>
        <w:rPr>
          <w:rFonts w:ascii="Calibri" w:hAnsi="Calibri"/>
          <w:color w:val="525866"/>
          <w:sz w:val="22"/>
        </w:rPr>
        <w:t xml:space="preserve"> The key wildcard is the pace of Now Assist consumption monetization: if management can demonstrate that the $1.5B ACV trajectory is tracking ahead of schedule and that the new tiered pricing (Foundation/Advanced/Prime) is driving incremental attach at renewal, the stock could re-rate sharply; conversely, any further Middle East slippage or margin pressure from Armis integration above the guided 125 bps headwind would weigh on sentiment.</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low-to-moderate bar — estimates sit essentially at the guidance midpoint with minimal cushion built in. </w:t>
      </w:r>
      <w:r>
        <w:rPr>
          <w:rFonts w:ascii="Calibri" w:hAnsi="Calibri"/>
          <w:b/>
          <w:color w:val="525866"/>
          <w:sz w:val="22"/>
        </w:rPr>
        <w:t>cRPO constant-currency growth is the bigger swing factor</w:t>
      </w:r>
      <w:r>
        <w:rPr>
          <w:rFonts w:ascii="Calibri" w:hAnsi="Calibri"/>
          <w:color w:val="525866"/>
          <w:sz w:val="22"/>
        </w:rPr>
        <w:t>: a beat there signals organic AI-driven demand acceleration, while subscription revenue is more mechanical given the Armis contribution is already baked in.</w:t>
      </w:r>
    </w:p>
    <w:p>
      <w:pPr>
        <w:pStyle w:val="Heading2"/>
      </w:pPr>
      <w:r>
        <w:rPr>
          <w:rFonts w:ascii="Calibri" w:hAnsi="Calibri"/>
          <w:b/>
          <w:color w:val="3B4259"/>
          <w:sz w:val="28"/>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Subscription Revenue ($B)</w:t>
            </w:r>
          </w:p>
        </w:tc>
        <w:tc>
          <w:tcPr>
            <w:tcW w:type="dxa" w:w="1234"/>
          </w:tcPr>
          <w:p>
            <w:r>
              <w:rPr>
                <w:rFonts w:ascii="Calibri" w:hAnsi="Calibri"/>
                <w:sz w:val="22"/>
              </w:rPr>
              <w:t>$3.671B</w:t>
            </w:r>
          </w:p>
        </w:tc>
        <w:tc>
          <w:tcPr>
            <w:tcW w:type="dxa" w:w="1234"/>
          </w:tcPr>
          <w:p>
            <w:r>
              <w:rPr>
                <w:rFonts w:ascii="Calibri" w:hAnsi="Calibri"/>
                <w:sz w:val="22"/>
              </w:rPr>
              <w:t>$3.113B</w:t>
            </w:r>
          </w:p>
        </w:tc>
        <w:tc>
          <w:tcPr>
            <w:tcW w:type="dxa" w:w="1234"/>
          </w:tcPr>
          <w:p>
            <w:r>
              <w:rPr>
                <w:rFonts w:ascii="Calibri" w:hAnsi="Calibri"/>
                <w:sz w:val="22"/>
              </w:rPr>
              <w:t>$3.817B</w:t>
            </w:r>
          </w:p>
        </w:tc>
        <w:tc>
          <w:tcPr>
            <w:tcW w:type="dxa" w:w="1234"/>
          </w:tcPr>
          <w:p>
            <w:r>
              <w:rPr>
                <w:rFonts w:ascii="Calibri" w:hAnsi="Calibri"/>
                <w:sz w:val="22"/>
              </w:rPr>
              <w:t>+22.6% YoY</w:t>
            </w:r>
          </w:p>
        </w:tc>
        <w:tc>
          <w:tcPr>
            <w:tcW w:type="dxa" w:w="1234"/>
          </w:tcPr>
          <w:p>
            <w:r>
              <w:rPr>
                <w:rFonts w:ascii="Calibri" w:hAnsi="Calibri"/>
                <w:sz w:val="22"/>
              </w:rPr>
              <w:t>$3.815–$3.820B (21–21.5% CC)</w:t>
            </w:r>
          </w:p>
        </w:tc>
        <w:tc>
          <w:tcPr>
            <w:tcW w:type="dxa" w:w="1234"/>
          </w:tcPr>
          <w:p>
            <w:r>
              <w:rPr>
                <w:rFonts w:ascii="Calibri" w:hAnsi="Calibri"/>
                <w:sz w:val="22"/>
              </w:rPr>
              <w:t>+0.1% above midpoint</w:t>
            </w:r>
          </w:p>
        </w:tc>
      </w:tr>
      <w:tr>
        <w:tc>
          <w:tcPr>
            <w:tcW w:type="dxa" w:w="1234"/>
          </w:tcPr>
          <w:p>
            <w:r>
              <w:rPr>
                <w:rFonts w:ascii="Calibri" w:hAnsi="Calibri"/>
                <w:sz w:val="22"/>
              </w:rPr>
              <w:t>cRPO CC Growth (%)</w:t>
            </w:r>
          </w:p>
        </w:tc>
        <w:tc>
          <w:tcPr>
            <w:tcW w:type="dxa" w:w="1234"/>
          </w:tcPr>
          <w:p>
            <w:r>
              <w:rPr>
                <w:rFonts w:ascii="Calibri" w:hAnsi="Calibri"/>
                <w:sz w:val="22"/>
              </w:rPr>
              <w:t>21% CC</w:t>
            </w:r>
          </w:p>
        </w:tc>
        <w:tc>
          <w:tcPr>
            <w:tcW w:type="dxa" w:w="1234"/>
          </w:tcPr>
          <w:p>
            <w:r>
              <w:rPr>
                <w:rFonts w:ascii="Calibri" w:hAnsi="Calibri"/>
                <w:sz w:val="22"/>
              </w:rPr>
              <w:t>21.3% CC</w:t>
            </w:r>
          </w:p>
        </w:tc>
        <w:tc>
          <w:tcPr>
            <w:tcW w:type="dxa" w:w="1234"/>
          </w:tcPr>
          <w:p>
            <w:r>
              <w:rPr>
                <w:rFonts w:ascii="Calibri" w:hAnsi="Calibri"/>
                <w:sz w:val="22"/>
              </w:rPr>
              <w:t>19.5%</w:t>
            </w:r>
          </w:p>
        </w:tc>
        <w:tc>
          <w:tcPr>
            <w:tcW w:type="dxa" w:w="1234"/>
          </w:tcPr>
          <w:p>
            <w:r>
              <w:rPr>
                <w:rFonts w:ascii="Calibri" w:hAnsi="Calibri"/>
                <w:sz w:val="22"/>
              </w:rPr>
              <w:t>~(180 bps) YoY</w:t>
            </w:r>
          </w:p>
        </w:tc>
        <w:tc>
          <w:tcPr>
            <w:tcW w:type="dxa" w:w="1234"/>
          </w:tcPr>
          <w:p>
            <w:r>
              <w:rPr>
                <w:rFonts w:ascii="Calibri" w:hAnsi="Calibri"/>
                <w:sz w:val="22"/>
              </w:rPr>
              <w:t>19.5% CC (incl. 125 bps Armis)</w:t>
            </w:r>
          </w:p>
        </w:tc>
        <w:tc>
          <w:tcPr>
            <w:tcW w:type="dxa" w:w="1234"/>
          </w:tcPr>
          <w:p>
            <w:r>
              <w:rPr>
                <w:rFonts w:ascii="Calibri" w:hAnsi="Calibri"/>
                <w:sz w:val="22"/>
              </w:rPr>
              <w:t>At guidance</w:t>
            </w:r>
          </w:p>
        </w:tc>
      </w:tr>
      <w:tr>
        <w:tc>
          <w:tcPr>
            <w:tcW w:type="dxa" w:w="1234"/>
          </w:tcPr>
          <w:p>
            <w:r>
              <w:rPr>
                <w:rFonts w:ascii="Calibri" w:hAnsi="Calibri"/>
                <w:sz w:val="22"/>
              </w:rPr>
              <w:t>Non-GAAP Operating Income ($B)</w:t>
            </w:r>
          </w:p>
        </w:tc>
        <w:tc>
          <w:tcPr>
            <w:tcW w:type="dxa" w:w="1234"/>
          </w:tcPr>
          <w:p>
            <w:r>
              <w:rPr>
                <w:rFonts w:ascii="Calibri" w:hAnsi="Calibri"/>
                <w:sz w:val="22"/>
              </w:rPr>
              <w:t>$1.199B (32.0% margin)</w:t>
            </w:r>
          </w:p>
        </w:tc>
        <w:tc>
          <w:tcPr>
            <w:tcW w:type="dxa" w:w="1234"/>
          </w:tcPr>
          <w:p>
            <w:r>
              <w:rPr>
                <w:rFonts w:ascii="Calibri" w:hAnsi="Calibri"/>
                <w:sz w:val="22"/>
              </w:rPr>
              <w:t>$0.955B (30.7% margin)</w:t>
            </w:r>
          </w:p>
        </w:tc>
        <w:tc>
          <w:tcPr>
            <w:tcW w:type="dxa" w:w="1234"/>
          </w:tcPr>
          <w:p>
            <w:r>
              <w:rPr>
                <w:rFonts w:ascii="Calibri" w:hAnsi="Calibri"/>
                <w:sz w:val="22"/>
              </w:rPr>
              <w:t>$1.045B</w:t>
            </w:r>
          </w:p>
        </w:tc>
        <w:tc>
          <w:tcPr>
            <w:tcW w:type="dxa" w:w="1234"/>
          </w:tcPr>
          <w:p>
            <w:r>
              <w:rPr>
                <w:rFonts w:ascii="Calibri" w:hAnsi="Calibri"/>
                <w:sz w:val="22"/>
              </w:rPr>
              <w:t>+9.4% YoY</w:t>
            </w:r>
          </w:p>
        </w:tc>
        <w:tc>
          <w:tcPr>
            <w:tcW w:type="dxa" w:w="1234"/>
          </w:tcPr>
          <w:p>
            <w:r>
              <w:rPr>
                <w:rFonts w:ascii="Calibri" w:hAnsi="Calibri"/>
                <w:sz w:val="22"/>
              </w:rPr>
              <w:t>26.5% margin (incl. 125 bps Armis headwind)</w:t>
            </w:r>
          </w:p>
        </w:tc>
        <w:tc>
          <w:tcPr>
            <w:tcW w:type="dxa" w:w="1234"/>
          </w:tcPr>
          <w:p>
            <w:r>
              <w:rPr>
                <w:rFonts w:ascii="Calibri" w:hAnsi="Calibri"/>
                <w:sz w:val="22"/>
              </w:rPr>
              <w:t>At guidance midpoint</w:t>
            </w:r>
          </w:p>
        </w:tc>
      </w:tr>
      <w:tr>
        <w:tc>
          <w:tcPr>
            <w:tcW w:type="dxa" w:w="1234"/>
          </w:tcPr>
          <w:p>
            <w:r>
              <w:rPr>
                <w:rFonts w:ascii="Calibri" w:hAnsi="Calibri"/>
                <w:sz w:val="22"/>
              </w:rPr>
              <w:t>Non-GAAP Operating Margin (%)</w:t>
            </w:r>
          </w:p>
        </w:tc>
        <w:tc>
          <w:tcPr>
            <w:tcW w:type="dxa" w:w="1234"/>
          </w:tcPr>
          <w:p>
            <w:r>
              <w:rPr>
                <w:rFonts w:ascii="Calibri" w:hAnsi="Calibri"/>
                <w:sz w:val="22"/>
              </w:rPr>
              <w:t>32.0%</w:t>
            </w:r>
          </w:p>
        </w:tc>
        <w:tc>
          <w:tcPr>
            <w:tcW w:type="dxa" w:w="1234"/>
          </w:tcPr>
          <w:p>
            <w:r>
              <w:rPr>
                <w:rFonts w:ascii="Calibri" w:hAnsi="Calibri"/>
                <w:sz w:val="22"/>
              </w:rPr>
              <w:t>30.7%</w:t>
            </w:r>
          </w:p>
        </w:tc>
        <w:tc>
          <w:tcPr>
            <w:tcW w:type="dxa" w:w="1234"/>
          </w:tcPr>
          <w:p>
            <w:r>
              <w:rPr>
                <w:rFonts w:ascii="Calibri" w:hAnsi="Calibri"/>
                <w:sz w:val="22"/>
              </w:rPr>
              <w:t>~26.5%</w:t>
            </w:r>
          </w:p>
        </w:tc>
        <w:tc>
          <w:tcPr>
            <w:tcW w:type="dxa" w:w="1234"/>
          </w:tcPr>
          <w:p>
            <w:r>
              <w:rPr>
                <w:rFonts w:ascii="Calibri" w:hAnsi="Calibri"/>
                <w:sz w:val="22"/>
              </w:rPr>
              <w:t>(450 bps) YoY (Armis-driven)</w:t>
            </w:r>
          </w:p>
        </w:tc>
        <w:tc>
          <w:tcPr>
            <w:tcW w:type="dxa" w:w="1234"/>
          </w:tcPr>
          <w:p>
            <w:r>
              <w:rPr>
                <w:rFonts w:ascii="Calibri" w:hAnsi="Calibri"/>
                <w:sz w:val="22"/>
              </w:rPr>
              <w:t>26.5%</w:t>
            </w:r>
          </w:p>
        </w:tc>
        <w:tc>
          <w:tcPr>
            <w:tcW w:type="dxa" w:w="1234"/>
          </w:tcPr>
          <w:p>
            <w:r>
              <w:rPr>
                <w:rFonts w:ascii="Calibri" w:hAnsi="Calibri"/>
                <w:sz w:val="22"/>
              </w:rPr>
              <w:t>At guidance</w:t>
            </w:r>
          </w:p>
        </w:tc>
      </w:tr>
      <w:tr>
        <w:tc>
          <w:tcPr>
            <w:tcW w:type="dxa" w:w="1234"/>
          </w:tcPr>
          <w:p>
            <w:r>
              <w:rPr>
                <w:rFonts w:ascii="Calibri" w:hAnsi="Calibri"/>
                <w:sz w:val="22"/>
              </w:rPr>
              <w:t>Free Cash Flow ($B)</w:t>
            </w:r>
          </w:p>
        </w:tc>
        <w:tc>
          <w:tcPr>
            <w:tcW w:type="dxa" w:w="1234"/>
          </w:tcPr>
          <w:p>
            <w:r>
              <w:rPr>
                <w:rFonts w:ascii="Calibri" w:hAnsi="Calibri"/>
                <w:sz w:val="22"/>
              </w:rPr>
              <w:t>$1.665B (44% margin)</w:t>
            </w:r>
          </w:p>
        </w:tc>
        <w:tc>
          <w:tcPr>
            <w:tcW w:type="dxa" w:w="1234"/>
          </w:tcPr>
          <w:p>
            <w:r>
              <w:rPr>
                <w:rFonts w:ascii="Calibri" w:hAnsi="Calibri"/>
                <w:sz w:val="22"/>
              </w:rPr>
              <w:t>$0.535B (17.2% margin)</w:t>
            </w:r>
          </w:p>
        </w:tc>
        <w:tc>
          <w:tcPr>
            <w:tcW w:type="dxa" w:w="1234"/>
          </w:tcPr>
          <w:p>
            <w:r>
              <w:rPr>
                <w:rFonts w:ascii="Calibri" w:hAnsi="Calibri"/>
                <w:sz w:val="22"/>
              </w:rPr>
              <w:t>$0.648B</w:t>
            </w:r>
          </w:p>
        </w:tc>
        <w:tc>
          <w:tcPr>
            <w:tcW w:type="dxa" w:w="1234"/>
          </w:tcPr>
          <w:p>
            <w:r>
              <w:rPr>
                <w:rFonts w:ascii="Calibri" w:hAnsi="Calibri"/>
                <w:sz w:val="22"/>
              </w:rPr>
              <w:t>+21.1% YoY</w:t>
            </w:r>
          </w:p>
        </w:tc>
        <w:tc>
          <w:tcPr>
            <w:tcW w:type="dxa" w:w="1234"/>
          </w:tcPr>
          <w:p>
            <w:r>
              <w:rPr>
                <w:rFonts w:ascii="Calibri" w:hAnsi="Calibri"/>
                <w:sz w:val="22"/>
              </w:rPr>
              <w:t>35% FY margin (FY guidance only)</w:t>
            </w:r>
          </w:p>
        </w:tc>
        <w:tc>
          <w:tcPr>
            <w:tcW w:type="dxa" w:w="1234"/>
          </w:tcPr>
          <w:p>
            <w:r>
              <w:rPr>
                <w:rFonts w:ascii="Calibri" w:hAnsi="Calibri"/>
                <w:sz w:val="22"/>
              </w:rPr>
              <w:t>N/A — no Q2-specific FCF guidance</w:t>
            </w:r>
          </w:p>
        </w:tc>
      </w:tr>
      <w:tr>
        <w:tc>
          <w:tcPr>
            <w:tcW w:type="dxa" w:w="1234"/>
          </w:tcPr>
          <w:p>
            <w:r>
              <w:rPr>
                <w:rFonts w:ascii="Calibri" w:hAnsi="Calibri"/>
                <w:sz w:val="22"/>
              </w:rPr>
              <w:t>Now Assist ACV (2026 Target)</w:t>
            </w:r>
          </w:p>
        </w:tc>
        <w:tc>
          <w:tcPr>
            <w:tcW w:type="dxa" w:w="1234"/>
          </w:tcPr>
          <w:p>
            <w:r>
              <w:rPr>
                <w:rFonts w:ascii="Calibri" w:hAnsi="Calibri"/>
                <w:sz w:val="22"/>
              </w:rPr>
              <w:t>&gt;$750M (Q1 crossing)</w:t>
            </w:r>
          </w:p>
        </w:tc>
        <w:tc>
          <w:tcPr>
            <w:tcW w:type="dxa" w:w="1234"/>
          </w:tcPr>
          <w:p>
            <w:r>
              <w:rPr>
                <w:rFonts w:ascii="Calibri" w:hAnsi="Calibri"/>
                <w:sz w:val="22"/>
              </w:rPr>
              <w:t>N/A</w:t>
            </w:r>
          </w:p>
        </w:tc>
        <w:tc>
          <w:tcPr>
            <w:tcW w:type="dxa" w:w="1234"/>
          </w:tcPr>
          <w:p>
            <w:r>
              <w:rPr>
                <w:rFonts w:ascii="Calibri" w:hAnsi="Calibri"/>
                <w:sz w:val="22"/>
              </w:rPr>
              <w:t>N/A — not in VA</w:t>
            </w:r>
          </w:p>
        </w:tc>
        <w:tc>
          <w:tcPr>
            <w:tcW w:type="dxa" w:w="1234"/>
          </w:tcPr>
          <w:p>
            <w:r>
              <w:rPr>
                <w:rFonts w:ascii="Calibri" w:hAnsi="Calibri"/>
                <w:sz w:val="22"/>
              </w:rPr>
              <w:t>N/A</w:t>
            </w:r>
          </w:p>
        </w:tc>
        <w:tc>
          <w:tcPr>
            <w:tcW w:type="dxa" w:w="1234"/>
          </w:tcPr>
          <w:p>
            <w:r>
              <w:rPr>
                <w:rFonts w:ascii="Calibri" w:hAnsi="Calibri"/>
                <w:sz w:val="22"/>
              </w:rPr>
              <w:t>$1.5B full-year target (raised at FAD)</w:t>
            </w:r>
          </w:p>
        </w:tc>
        <w:tc>
          <w:tcPr>
            <w:tcW w:type="dxa" w:w="1234"/>
          </w:tcPr>
          <w:p>
            <w:r>
              <w:rPr>
                <w:rFonts w:ascii="Calibri" w:hAnsi="Calibri"/>
                <w:sz w:val="22"/>
              </w:rPr>
              <w:t>N/A — no quarterly consensus</w:t>
            </w:r>
          </w:p>
        </w:tc>
      </w:tr>
    </w:tbl>
    <w:p>
      <w:r>
        <w:rPr>
          <w:rFonts w:ascii="Calibri" w:hAnsi="Calibri"/>
          <w:b/>
          <w:color w:val="525866"/>
          <w:sz w:val="22"/>
        </w:rPr>
        <w:t xml:space="preserve">Sources: </w:t>
      </w:r>
      <w:r>
        <w:rPr>
          <w:rFonts w:ascii="Calibri" w:hAnsi="Calibri"/>
          <w:color w:val="525866"/>
          <w:sz w:val="22"/>
        </w:rPr>
        <w:t>Subscription Revenue, cRPO CC Growth, Non-GAAP Operating Income, Free Cash Flow — Visible Alpha Consensus and Actuals Data. Q2 2026 guidance from Q1 2026 Earnings Release (April 22, 2026) and Q1 2026 Earnings Call transcript. Now Assist ACV from Financial Analyst Day transcript (May 4, 2026). Note: Q2 2026 Non-GAAP Operating Margin consensus approximated from consensus operating income / consensus subscription revenue; FCF consensus from Visible Alpha. Armis contribution of 125 bps is embedded in both subscription revenue and cRPO guidance.</w:t>
      </w:r>
    </w:p>
    <w:p>
      <w:pPr>
        <w:pStyle w:val="Heading2"/>
      </w:pPr>
      <w:r>
        <w:rPr>
          <w:rFonts w:ascii="Calibri" w:hAnsi="Calibri"/>
          <w:b/>
          <w:color w:val="3B4259"/>
          <w:sz w:val="28"/>
        </w:rPr>
        <w:t>Table 2 — Beat/Miss History (Last 8 Quarters, Top 2 KPIs)</w:t>
      </w:r>
    </w:p>
    <w:p>
      <w:pPr>
        <w:pStyle w:val="Heading3"/>
      </w:pPr>
      <w:r>
        <w:rPr>
          <w:rFonts w:ascii="Calibri" w:hAnsi="Calibri"/>
          <w:b/>
          <w:color w:val="3B4259"/>
          <w:sz w:val="24"/>
        </w:rPr>
        <w:t>KPI 1: Subscription Revenue ($B)</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$3.671</w:t>
            </w:r>
          </w:p>
        </w:tc>
        <w:tc>
          <w:tcPr>
            <w:tcW w:type="dxa" w:w="1728"/>
          </w:tcPr>
          <w:p>
            <w:r>
              <w:rPr>
                <w:rFonts w:ascii="Calibri" w:hAnsi="Calibri"/>
                <w:sz w:val="22"/>
              </w:rPr>
              <w:t>$3.653</w:t>
            </w:r>
          </w:p>
        </w:tc>
        <w:tc>
          <w:tcPr>
            <w:tcW w:type="dxa" w:w="1728"/>
          </w:tcPr>
          <w:p>
            <w:r>
              <w:rPr>
                <w:rFonts w:ascii="Calibri" w:hAnsi="Calibri"/>
                <w:sz w:val="22"/>
              </w:rPr>
              <w:t>+0.5%</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$3.466</w:t>
            </w:r>
          </w:p>
        </w:tc>
        <w:tc>
          <w:tcPr>
            <w:tcW w:type="dxa" w:w="1728"/>
          </w:tcPr>
          <w:p>
            <w:r>
              <w:rPr>
                <w:rFonts w:ascii="Calibri" w:hAnsi="Calibri"/>
                <w:sz w:val="22"/>
              </w:rPr>
              <w:t>$3.429</w:t>
            </w:r>
          </w:p>
        </w:tc>
        <w:tc>
          <w:tcPr>
            <w:tcW w:type="dxa" w:w="1728"/>
          </w:tcPr>
          <w:p>
            <w:r>
              <w:rPr>
                <w:rFonts w:ascii="Calibri" w:hAnsi="Calibri"/>
                <w:sz w:val="22"/>
              </w:rPr>
              <w:t>+1.1%</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$3.299</w:t>
            </w:r>
          </w:p>
        </w:tc>
        <w:tc>
          <w:tcPr>
            <w:tcW w:type="dxa" w:w="1728"/>
          </w:tcPr>
          <w:p>
            <w:r>
              <w:rPr>
                <w:rFonts w:ascii="Calibri" w:hAnsi="Calibri"/>
                <w:sz w:val="22"/>
              </w:rPr>
              <w:t>$3.269</w:t>
            </w:r>
          </w:p>
        </w:tc>
        <w:tc>
          <w:tcPr>
            <w:tcW w:type="dxa" w:w="1728"/>
          </w:tcPr>
          <w:p>
            <w:r>
              <w:rPr>
                <w:rFonts w:ascii="Calibri" w:hAnsi="Calibri"/>
                <w:sz w:val="22"/>
              </w:rPr>
              <w:t>+0.9%</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$3.113</w:t>
            </w:r>
          </w:p>
        </w:tc>
        <w:tc>
          <w:tcPr>
            <w:tcW w:type="dxa" w:w="1728"/>
          </w:tcPr>
          <w:p>
            <w:r>
              <w:rPr>
                <w:rFonts w:ascii="Calibri" w:hAnsi="Calibri"/>
                <w:sz w:val="22"/>
              </w:rPr>
              <w:t>$3.035</w:t>
            </w:r>
          </w:p>
        </w:tc>
        <w:tc>
          <w:tcPr>
            <w:tcW w:type="dxa" w:w="1728"/>
          </w:tcPr>
          <w:p>
            <w:r>
              <w:rPr>
                <w:rFonts w:ascii="Calibri" w:hAnsi="Calibri"/>
                <w:sz w:val="22"/>
              </w:rPr>
              <w:t>+2.6%</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$3.005</w:t>
            </w:r>
          </w:p>
        </w:tc>
        <w:tc>
          <w:tcPr>
            <w:tcW w:type="dxa" w:w="1728"/>
          </w:tcPr>
          <w:p>
            <w:r>
              <w:rPr>
                <w:rFonts w:ascii="Calibri" w:hAnsi="Calibri"/>
                <w:sz w:val="22"/>
              </w:rPr>
              <w:t>$2.999</w:t>
            </w:r>
          </w:p>
        </w:tc>
        <w:tc>
          <w:tcPr>
            <w:tcW w:type="dxa" w:w="1728"/>
          </w:tcPr>
          <w:p>
            <w:r>
              <w:rPr>
                <w:rFonts w:ascii="Calibri" w:hAnsi="Calibri"/>
                <w:sz w:val="22"/>
              </w:rPr>
              <w:t>+0.2%</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$2.866</w:t>
            </w:r>
          </w:p>
        </w:tc>
        <w:tc>
          <w:tcPr>
            <w:tcW w:type="dxa" w:w="1728"/>
          </w:tcPr>
          <w:p>
            <w:r>
              <w:rPr>
                <w:rFonts w:ascii="Calibri" w:hAnsi="Calibri"/>
                <w:sz w:val="22"/>
              </w:rPr>
              <w:t>$2.881</w:t>
            </w:r>
          </w:p>
        </w:tc>
        <w:tc>
          <w:tcPr>
            <w:tcW w:type="dxa" w:w="1728"/>
          </w:tcPr>
          <w:p>
            <w:r>
              <w:rPr>
                <w:rFonts w:ascii="Calibri" w:hAnsi="Calibri"/>
                <w:sz w:val="22"/>
              </w:rPr>
              <w:t>−0.5%</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$2.715</w:t>
            </w:r>
          </w:p>
        </w:tc>
        <w:tc>
          <w:tcPr>
            <w:tcW w:type="dxa" w:w="1728"/>
          </w:tcPr>
          <w:p>
            <w:r>
              <w:rPr>
                <w:rFonts w:ascii="Calibri" w:hAnsi="Calibri"/>
                <w:sz w:val="22"/>
              </w:rPr>
              <w:t>$2.665</w:t>
            </w:r>
          </w:p>
        </w:tc>
        <w:tc>
          <w:tcPr>
            <w:tcW w:type="dxa" w:w="1728"/>
          </w:tcPr>
          <w:p>
            <w:r>
              <w:rPr>
                <w:rFonts w:ascii="Calibri" w:hAnsi="Calibri"/>
                <w:sz w:val="22"/>
              </w:rPr>
              <w:t>+1.9%</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N/A — not in VA window</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pPr>
        <w:pStyle w:val="Heading3"/>
      </w:pPr>
      <w:r>
        <w:rPr>
          <w:rFonts w:ascii="Calibri" w:hAnsi="Calibri"/>
          <w:b/>
          <w:color w:val="3B4259"/>
          <w:sz w:val="24"/>
        </w:rPr>
        <w:t>KPI 2: cRPO Constant-Currency Growth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(bps)</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21.0%</w:t>
            </w:r>
          </w:p>
        </w:tc>
        <w:tc>
          <w:tcPr>
            <w:tcW w:type="dxa" w:w="1728"/>
          </w:tcPr>
          <w:p>
            <w:r>
              <w:rPr>
                <w:rFonts w:ascii="Calibri" w:hAnsi="Calibri"/>
                <w:sz w:val="22"/>
              </w:rPr>
              <w:t>20.0%</w:t>
            </w:r>
          </w:p>
        </w:tc>
        <w:tc>
          <w:tcPr>
            <w:tcW w:type="dxa" w:w="1728"/>
          </w:tcPr>
          <w:p>
            <w:r>
              <w:rPr>
                <w:rFonts w:ascii="Calibri" w:hAnsi="Calibri"/>
                <w:sz w:val="22"/>
              </w:rPr>
              <w:t>+100 bps</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21.0%</w:t>
            </w:r>
          </w:p>
        </w:tc>
        <w:tc>
          <w:tcPr>
            <w:tcW w:type="dxa" w:w="1728"/>
          </w:tcPr>
          <w:p>
            <w:r>
              <w:rPr>
                <w:rFonts w:ascii="Calibri" w:hAnsi="Calibri"/>
                <w:sz w:val="22"/>
              </w:rPr>
              <w:t>19.1%</w:t>
            </w:r>
          </w:p>
        </w:tc>
        <w:tc>
          <w:tcPr>
            <w:tcW w:type="dxa" w:w="1728"/>
          </w:tcPr>
          <w:p>
            <w:r>
              <w:rPr>
                <w:rFonts w:ascii="Calibri" w:hAnsi="Calibri"/>
                <w:sz w:val="22"/>
              </w:rPr>
              <w:t>+190 bps</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20.5%</w:t>
            </w:r>
          </w:p>
        </w:tc>
        <w:tc>
          <w:tcPr>
            <w:tcW w:type="dxa" w:w="1728"/>
          </w:tcPr>
          <w:p>
            <w:r>
              <w:rPr>
                <w:rFonts w:ascii="Calibri" w:hAnsi="Calibri"/>
                <w:sz w:val="22"/>
              </w:rPr>
              <w:t>18.1%</w:t>
            </w:r>
          </w:p>
        </w:tc>
        <w:tc>
          <w:tcPr>
            <w:tcW w:type="dxa" w:w="1728"/>
          </w:tcPr>
          <w:p>
            <w:r>
              <w:rPr>
                <w:rFonts w:ascii="Calibri" w:hAnsi="Calibri"/>
                <w:sz w:val="22"/>
              </w:rPr>
              <w:t>+240 bps</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21.3%</w:t>
            </w:r>
          </w:p>
        </w:tc>
        <w:tc>
          <w:tcPr>
            <w:tcW w:type="dxa" w:w="1728"/>
          </w:tcPr>
          <w:p>
            <w:r>
              <w:rPr>
                <w:rFonts w:ascii="Calibri" w:hAnsi="Calibri"/>
                <w:sz w:val="22"/>
              </w:rPr>
              <w:t>19.6%</w:t>
            </w:r>
          </w:p>
        </w:tc>
        <w:tc>
          <w:tcPr>
            <w:tcW w:type="dxa" w:w="1728"/>
          </w:tcPr>
          <w:p>
            <w:r>
              <w:rPr>
                <w:rFonts w:ascii="Calibri" w:hAnsi="Calibri"/>
                <w:sz w:val="22"/>
              </w:rPr>
              <w:t>+170 bps</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22.0%</w:t>
            </w:r>
          </w:p>
        </w:tc>
        <w:tc>
          <w:tcPr>
            <w:tcW w:type="dxa" w:w="1728"/>
          </w:tcPr>
          <w:p>
            <w:r>
              <w:rPr>
                <w:rFonts w:ascii="Calibri" w:hAnsi="Calibri"/>
                <w:sz w:val="22"/>
              </w:rPr>
              <w:t>20.8%</w:t>
            </w:r>
          </w:p>
        </w:tc>
        <w:tc>
          <w:tcPr>
            <w:tcW w:type="dxa" w:w="1728"/>
          </w:tcPr>
          <w:p>
            <w:r>
              <w:rPr>
                <w:rFonts w:ascii="Calibri" w:hAnsi="Calibri"/>
                <w:sz w:val="22"/>
              </w:rPr>
              <w:t>+120 bps</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22.0%</w:t>
            </w:r>
          </w:p>
        </w:tc>
        <w:tc>
          <w:tcPr>
            <w:tcW w:type="dxa" w:w="1728"/>
          </w:tcPr>
          <w:p>
            <w:r>
              <w:rPr>
                <w:rFonts w:ascii="Calibri" w:hAnsi="Calibri"/>
                <w:sz w:val="22"/>
              </w:rPr>
              <w:t>21.7%</w:t>
            </w:r>
          </w:p>
        </w:tc>
        <w:tc>
          <w:tcPr>
            <w:tcW w:type="dxa" w:w="1728"/>
          </w:tcPr>
          <w:p>
            <w:r>
              <w:rPr>
                <w:rFonts w:ascii="Calibri" w:hAnsi="Calibri"/>
                <w:sz w:val="22"/>
              </w:rPr>
              <w:t>+30 bps</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23.6%</w:t>
            </w:r>
          </w:p>
        </w:tc>
        <w:tc>
          <w:tcPr>
            <w:tcW w:type="dxa" w:w="1728"/>
          </w:tcPr>
          <w:p>
            <w:r>
              <w:rPr>
                <w:rFonts w:ascii="Calibri" w:hAnsi="Calibri"/>
                <w:sz w:val="22"/>
              </w:rPr>
              <w:t>22.4%</w:t>
            </w:r>
          </w:p>
        </w:tc>
        <w:tc>
          <w:tcPr>
            <w:tcW w:type="dxa" w:w="1728"/>
          </w:tcPr>
          <w:p>
            <w:r>
              <w:rPr>
                <w:rFonts w:ascii="Calibri" w:hAnsi="Calibri"/>
                <w:sz w:val="22"/>
              </w:rPr>
              <w:t>+120 bps</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N/A — not in VA window</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NOW has beaten subscription revenue consensus in 6 of the last 7 reported quarters, and has beaten cRPO CC growth guidance in every reported quarter in the window — consistently by 100–240 bps — establishing a strong track record of conservative guidance and systematic outperformance on the forward-looking demand metric.</w:t>
      </w:r>
    </w:p>
    <w:p>
      <w:r>
        <w:rPr>
          <w:rFonts w:ascii="Calibri" w:hAnsi="Calibri"/>
          <w:b/>
          <w:color w:val="525866"/>
          <w:sz w:val="22"/>
        </w:rPr>
        <w:t xml:space="preserve">Source: </w:t>
      </w:r>
      <w:r>
        <w:rPr>
          <w:rFonts w:ascii="Calibri" w:hAnsi="Calibri"/>
          <w:color w:val="525866"/>
          <w:sz w:val="22"/>
        </w:rPr>
        <w:t>Visible Alpha Consensus and Actuals Data; Q1 2026 Earnings Release (April 22, 2026).</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Guidance has been formally raised once since Q1 earnings — the Now Assist ACV target was lifted from $1B to $1.5B at the May 4 Financial Analyst Day — while quarterly revenue and margin guidance remain unchanged from the April 22 print. Management tone has shifted materially more confident, with the FAD introducing a $30B+ 2030 subscription revenue target and Rule of 60+ ambition.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Apr 22)</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Subscription Revenue</w:t>
            </w:r>
          </w:p>
        </w:tc>
        <w:tc>
          <w:tcPr>
            <w:tcW w:type="dxa" w:w="1728"/>
          </w:tcPr>
          <w:p>
            <w:r>
              <w:rPr>
                <w:rFonts w:ascii="Calibri" w:hAnsi="Calibri"/>
                <w:sz w:val="22"/>
              </w:rPr>
              <w:t>$3.815–$3.820B (21–21.5% CC)</w:t>
            </w:r>
          </w:p>
        </w:tc>
        <w:tc>
          <w:tcPr>
            <w:tcW w:type="dxa" w:w="1728"/>
          </w:tcPr>
          <w:p>
            <w:r>
              <w:rPr>
                <w:rFonts w:ascii="Calibri" w:hAnsi="Calibri"/>
                <w:sz w:val="22"/>
              </w:rPr>
              <w:t>—</w:t>
            </w:r>
          </w:p>
        </w:tc>
        <w:tc>
          <w:tcPr>
            <w:tcW w:type="dxa" w:w="1728"/>
          </w:tcPr>
          <w:p>
            <w:r>
              <w:rPr>
                <w:rFonts w:ascii="Calibri" w:hAnsi="Calibri"/>
                <w:sz w:val="22"/>
              </w:rPr>
              <w:t>$3.817B</w:t>
            </w:r>
          </w:p>
        </w:tc>
        <w:tc>
          <w:tcPr>
            <w:tcW w:type="dxa" w:w="1728"/>
          </w:tcPr>
          <w:p>
            <w:r>
              <w:rPr>
                <w:rFonts w:ascii="Calibri" w:hAnsi="Calibri"/>
                <w:sz w:val="22"/>
              </w:rPr>
              <w:t>Unchanged; incl. 125 bps Armis contribution</w:t>
            </w:r>
          </w:p>
        </w:tc>
      </w:tr>
      <w:tr>
        <w:tc>
          <w:tcPr>
            <w:tcW w:type="dxa" w:w="1728"/>
          </w:tcPr>
          <w:p>
            <w:r>
              <w:rPr>
                <w:rFonts w:ascii="Calibri" w:hAnsi="Calibri"/>
                <w:sz w:val="22"/>
              </w:rPr>
              <w:t>Q2 2026 cRPO CC Growth</w:t>
            </w:r>
          </w:p>
        </w:tc>
        <w:tc>
          <w:tcPr>
            <w:tcW w:type="dxa" w:w="1728"/>
          </w:tcPr>
          <w:p>
            <w:r>
              <w:rPr>
                <w:rFonts w:ascii="Calibri" w:hAnsi="Calibri"/>
                <w:sz w:val="22"/>
              </w:rPr>
              <w:t>19.5% CC (incl. 125 bps Armis)</w:t>
            </w:r>
          </w:p>
        </w:tc>
        <w:tc>
          <w:tcPr>
            <w:tcW w:type="dxa" w:w="1728"/>
          </w:tcPr>
          <w:p>
            <w:r>
              <w:rPr>
                <w:rFonts w:ascii="Calibri" w:hAnsi="Calibri"/>
                <w:sz w:val="22"/>
              </w:rPr>
              <w:t>—</w:t>
            </w:r>
          </w:p>
        </w:tc>
        <w:tc>
          <w:tcPr>
            <w:tcW w:type="dxa" w:w="1728"/>
          </w:tcPr>
          <w:p>
            <w:r>
              <w:rPr>
                <w:rFonts w:ascii="Calibri" w:hAnsi="Calibri"/>
                <w:sz w:val="22"/>
              </w:rPr>
              <w:t>19.5%</w:t>
            </w:r>
          </w:p>
        </w:tc>
        <w:tc>
          <w:tcPr>
            <w:tcW w:type="dxa" w:w="1728"/>
          </w:tcPr>
          <w:p>
            <w:r>
              <w:rPr>
                <w:rFonts w:ascii="Calibri" w:hAnsi="Calibri"/>
                <w:sz w:val="22"/>
              </w:rPr>
              <w:t>Unchanged; organic ask ~18–18.5%</w:t>
            </w:r>
          </w:p>
        </w:tc>
      </w:tr>
      <w:tr>
        <w:tc>
          <w:tcPr>
            <w:tcW w:type="dxa" w:w="1728"/>
          </w:tcPr>
          <w:p>
            <w:r>
              <w:rPr>
                <w:rFonts w:ascii="Calibri" w:hAnsi="Calibri"/>
                <w:sz w:val="22"/>
              </w:rPr>
              <w:t>Q2 2026 Non-GAAP Operating Margin</w:t>
            </w:r>
          </w:p>
        </w:tc>
        <w:tc>
          <w:tcPr>
            <w:tcW w:type="dxa" w:w="1728"/>
          </w:tcPr>
          <w:p>
            <w:r>
              <w:rPr>
                <w:rFonts w:ascii="Calibri" w:hAnsi="Calibri"/>
                <w:sz w:val="22"/>
              </w:rPr>
              <w:t>26.5% (incl. 125 bps Armis headwind)</w:t>
            </w:r>
          </w:p>
        </w:tc>
        <w:tc>
          <w:tcPr>
            <w:tcW w:type="dxa" w:w="1728"/>
          </w:tcPr>
          <w:p>
            <w:r>
              <w:rPr>
                <w:rFonts w:ascii="Calibri" w:hAnsi="Calibri"/>
                <w:sz w:val="22"/>
              </w:rPr>
              <w:t>—</w:t>
            </w:r>
          </w:p>
        </w:tc>
        <w:tc>
          <w:tcPr>
            <w:tcW w:type="dxa" w:w="1728"/>
          </w:tcPr>
          <w:p>
            <w:r>
              <w:rPr>
                <w:rFonts w:ascii="Calibri" w:hAnsi="Calibri"/>
                <w:sz w:val="22"/>
              </w:rPr>
              <w:t>~26.5%</w:t>
            </w:r>
          </w:p>
        </w:tc>
        <w:tc>
          <w:tcPr>
            <w:tcW w:type="dxa" w:w="1728"/>
          </w:tcPr>
          <w:p>
            <w:r>
              <w:rPr>
                <w:rFonts w:ascii="Calibri" w:hAnsi="Calibri"/>
                <w:sz w:val="22"/>
              </w:rPr>
              <w:t>Unchanged; Q2 seasonally lowest margin quarter</w:t>
            </w:r>
          </w:p>
        </w:tc>
      </w:tr>
      <w:tr>
        <w:tc>
          <w:tcPr>
            <w:tcW w:type="dxa" w:w="1728"/>
          </w:tcPr>
          <w:p>
            <w:r>
              <w:rPr>
                <w:rFonts w:ascii="Calibri" w:hAnsi="Calibri"/>
                <w:sz w:val="22"/>
              </w:rPr>
              <w:t>FY 2026 Subscription Revenue</w:t>
            </w:r>
          </w:p>
        </w:tc>
        <w:tc>
          <w:tcPr>
            <w:tcW w:type="dxa" w:w="1728"/>
          </w:tcPr>
          <w:p>
            <w:r>
              <w:rPr>
                <w:rFonts w:ascii="Calibri" w:hAnsi="Calibri"/>
                <w:sz w:val="22"/>
              </w:rPr>
              <w:t>$15.735–$15.775B (20.5–21% CC)</w:t>
            </w:r>
          </w:p>
        </w:tc>
        <w:tc>
          <w:tcPr>
            <w:tcW w:type="dxa" w:w="1728"/>
          </w:tcPr>
          <w:p>
            <w:r>
              <w:rPr>
                <w:rFonts w:ascii="Calibri" w:hAnsi="Calibri"/>
                <w:sz w:val="22"/>
              </w:rPr>
              <w:t>—</w:t>
            </w:r>
          </w:p>
        </w:tc>
        <w:tc>
          <w:tcPr>
            <w:tcW w:type="dxa" w:w="1728"/>
          </w:tcPr>
          <w:p>
            <w:r>
              <w:rPr>
                <w:rFonts w:ascii="Calibri" w:hAnsi="Calibri"/>
                <w:sz w:val="22"/>
              </w:rPr>
              <w:t>$15.761B</w:t>
            </w:r>
          </w:p>
        </w:tc>
        <w:tc>
          <w:tcPr>
            <w:tcW w:type="dxa" w:w="1728"/>
          </w:tcPr>
          <w:p>
            <w:r>
              <w:rPr>
                <w:rFonts w:ascii="Calibri" w:hAnsi="Calibri"/>
                <w:sz w:val="22"/>
              </w:rPr>
              <w:t>Unchanged; raised $205M at midpoint vs. prior guide; incl. 125 bps Armis</w:t>
            </w:r>
          </w:p>
        </w:tc>
      </w:tr>
      <w:tr>
        <w:tc>
          <w:tcPr>
            <w:tcW w:type="dxa" w:w="1728"/>
          </w:tcPr>
          <w:p>
            <w:r>
              <w:rPr>
                <w:rFonts w:ascii="Calibri" w:hAnsi="Calibri"/>
                <w:sz w:val="22"/>
              </w:rPr>
              <w:t>FY 2026 Non-GAAP Operating Margin</w:t>
            </w:r>
          </w:p>
        </w:tc>
        <w:tc>
          <w:tcPr>
            <w:tcW w:type="dxa" w:w="1728"/>
          </w:tcPr>
          <w:p>
            <w:r>
              <w:rPr>
                <w:rFonts w:ascii="Calibri" w:hAnsi="Calibri"/>
                <w:sz w:val="22"/>
              </w:rPr>
              <w:t>31.5% (incl. 75 bps Armis headwind)</w:t>
            </w:r>
          </w:p>
        </w:tc>
        <w:tc>
          <w:tcPr>
            <w:tcW w:type="dxa" w:w="1728"/>
          </w:tcPr>
          <w:p>
            <w:r>
              <w:rPr>
                <w:rFonts w:ascii="Calibri" w:hAnsi="Calibri"/>
                <w:sz w:val="22"/>
              </w:rPr>
              <w:t>—</w:t>
            </w:r>
          </w:p>
        </w:tc>
        <w:tc>
          <w:tcPr>
            <w:tcW w:type="dxa" w:w="1728"/>
          </w:tcPr>
          <w:p>
            <w:r>
              <w:rPr>
                <w:rFonts w:ascii="Calibri" w:hAnsi="Calibri"/>
                <w:sz w:val="22"/>
              </w:rPr>
              <w:t>~31.5%</w:t>
            </w:r>
          </w:p>
        </w:tc>
        <w:tc>
          <w:tcPr>
            <w:tcW w:type="dxa" w:w="1728"/>
          </w:tcPr>
          <w:p>
            <w:r>
              <w:rPr>
                <w:rFonts w:ascii="Calibri" w:hAnsi="Calibri"/>
                <w:sz w:val="22"/>
              </w:rPr>
              <w:t>Unchanged; AI OpEx efficiencies expected to offset Armis drag in FY2027</w:t>
            </w:r>
          </w:p>
        </w:tc>
      </w:tr>
      <w:tr>
        <w:tc>
          <w:tcPr>
            <w:tcW w:type="dxa" w:w="1728"/>
          </w:tcPr>
          <w:p>
            <w:r>
              <w:rPr>
                <w:rFonts w:ascii="Calibri" w:hAnsi="Calibri"/>
                <w:sz w:val="22"/>
              </w:rPr>
              <w:t>FY 2026 Free Cash Flow Margin</w:t>
            </w:r>
          </w:p>
        </w:tc>
        <w:tc>
          <w:tcPr>
            <w:tcW w:type="dxa" w:w="1728"/>
          </w:tcPr>
          <w:p>
            <w:r>
              <w:rPr>
                <w:rFonts w:ascii="Calibri" w:hAnsi="Calibri"/>
                <w:sz w:val="22"/>
              </w:rPr>
              <w:t>35% (incl. 200 bps Armis headwind)</w:t>
            </w:r>
          </w:p>
        </w:tc>
        <w:tc>
          <w:tcPr>
            <w:tcW w:type="dxa" w:w="1728"/>
          </w:tcPr>
          <w:p>
            <w:r>
              <w:rPr>
                <w:rFonts w:ascii="Calibri" w:hAnsi="Calibri"/>
                <w:sz w:val="22"/>
              </w:rPr>
              <w:t>—</w:t>
            </w:r>
          </w:p>
        </w:tc>
        <w:tc>
          <w:tcPr>
            <w:tcW w:type="dxa" w:w="1728"/>
          </w:tcPr>
          <w:p>
            <w:r>
              <w:rPr>
                <w:rFonts w:ascii="Calibri" w:hAnsi="Calibri"/>
                <w:sz w:val="22"/>
              </w:rPr>
              <w:t>~35%</w:t>
            </w:r>
          </w:p>
        </w:tc>
        <w:tc>
          <w:tcPr>
            <w:tcW w:type="dxa" w:w="1728"/>
          </w:tcPr>
          <w:p>
            <w:r>
              <w:rPr>
                <w:rFonts w:ascii="Calibri" w:hAnsi="Calibri"/>
                <w:sz w:val="22"/>
              </w:rPr>
              <w:t>Unchanged</w:t>
            </w:r>
          </w:p>
        </w:tc>
      </w:tr>
      <w:tr>
        <w:tc>
          <w:tcPr>
            <w:tcW w:type="dxa" w:w="1728"/>
          </w:tcPr>
          <w:p>
            <w:r>
              <w:rPr>
                <w:rFonts w:ascii="Calibri" w:hAnsi="Calibri"/>
                <w:sz w:val="22"/>
              </w:rPr>
              <w:t>Now Assist ACV (FY 2026 Target)</w:t>
            </w:r>
          </w:p>
        </w:tc>
        <w:tc>
          <w:tcPr>
            <w:tcW w:type="dxa" w:w="1728"/>
          </w:tcPr>
          <w:p>
            <w:r>
              <w:rPr>
                <w:rFonts w:ascii="Calibri" w:hAnsi="Calibri"/>
                <w:sz w:val="22"/>
              </w:rPr>
              <w:t>&gt;$1.0B (teased on Q1 call as understated)</w:t>
            </w:r>
          </w:p>
        </w:tc>
        <w:tc>
          <w:tcPr>
            <w:tcW w:type="dxa" w:w="1728"/>
          </w:tcPr>
          <w:p>
            <w:r>
              <w:rPr>
                <w:rFonts w:ascii="Calibri" w:hAnsi="Calibri"/>
                <w:sz w:val="22"/>
              </w:rPr>
              <w:t>↑ Raised to $1.5B at Financial Analyst Day (May 4, 2026)</w:t>
            </w:r>
          </w:p>
        </w:tc>
        <w:tc>
          <w:tcPr>
            <w:tcW w:type="dxa" w:w="1728"/>
          </w:tcPr>
          <w:p>
            <w:r>
              <w:rPr>
                <w:rFonts w:ascii="Calibri" w:hAnsi="Calibri"/>
                <w:sz w:val="22"/>
              </w:rPr>
              <w:t>N/A — not in VA</w:t>
            </w:r>
          </w:p>
        </w:tc>
        <w:tc>
          <w:tcPr>
            <w:tcW w:type="dxa" w:w="1728"/>
          </w:tcPr>
          <w:p>
            <w:r>
              <w:rPr>
                <w:rFonts w:ascii="Calibri" w:hAnsi="Calibri"/>
                <w:sz w:val="22"/>
              </w:rPr>
              <w:t>↑ Raised at FAD May 4; CEO noted original $1B target was “understated”; Q1 ACV crossed $750M milestone</w:t>
            </w:r>
          </w:p>
        </w:tc>
      </w:tr>
      <w:tr>
        <w:tc>
          <w:tcPr>
            <w:tcW w:type="dxa" w:w="1728"/>
          </w:tcPr>
          <w:p>
            <w:r>
              <w:rPr>
                <w:rFonts w:ascii="Calibri" w:hAnsi="Calibri"/>
                <w:sz w:val="22"/>
              </w:rPr>
              <w:t>FY 2030 Subscription Revenue Target (LRP)</w:t>
            </w:r>
          </w:p>
        </w:tc>
        <w:tc>
          <w:tcPr>
            <w:tcW w:type="dxa" w:w="1728"/>
          </w:tcPr>
          <w:p>
            <w:r>
              <w:rPr>
                <w:rFonts w:ascii="Calibri" w:hAnsi="Calibri"/>
                <w:sz w:val="22"/>
              </w:rPr>
              <w:t>N/A (pre-FAD)</w:t>
            </w:r>
          </w:p>
        </w:tc>
        <w:tc>
          <w:tcPr>
            <w:tcW w:type="dxa" w:w="1728"/>
          </w:tcPr>
          <w:p>
            <w:r>
              <w:rPr>
                <w:rFonts w:ascii="Calibri" w:hAnsi="Calibri"/>
                <w:sz w:val="22"/>
              </w:rPr>
              <w:t>↑ Introduced: $30B+ base; $32B higher scenario (20% CAGR)</w:t>
            </w:r>
          </w:p>
        </w:tc>
        <w:tc>
          <w:tcPr>
            <w:tcW w:type="dxa" w:w="1728"/>
          </w:tcPr>
          <w:p>
            <w:r>
              <w:rPr>
                <w:rFonts w:ascii="Calibri" w:hAnsi="Calibri"/>
                <w:sz w:val="22"/>
              </w:rPr>
              <w:t>N/A</w:t>
            </w:r>
          </w:p>
        </w:tc>
        <w:tc>
          <w:tcPr>
            <w:tcW w:type="dxa" w:w="1728"/>
          </w:tcPr>
          <w:p>
            <w:r>
              <w:rPr>
                <w:rFonts w:ascii="Calibri" w:hAnsi="Calibri"/>
                <w:sz w:val="22"/>
              </w:rPr>
              <w:t>↑ New at FAD May 4; Rule of 60+ by 2030; SBC sub-10% by 2029; 100 bps op. margin expansion in FY2027</w:t>
            </w:r>
          </w:p>
        </w:tc>
      </w:tr>
    </w:tbl>
    <w:p>
      <w:r>
        <w:rPr>
          <w:rFonts w:ascii="Calibri" w:hAnsi="Calibri"/>
          <w:b/>
          <w:color w:val="525866"/>
          <w:sz w:val="22"/>
        </w:rPr>
        <w:t xml:space="preserve">Source: </w:t>
      </w:r>
      <w:r>
        <w:rPr>
          <w:rFonts w:ascii="Calibri" w:hAnsi="Calibri"/>
          <w:color w:val="525866"/>
          <w:sz w:val="22"/>
        </w:rPr>
        <w:t>Q1 2026 Earnings Call transcript and Earnings Release (April 22, 2026); Financial Analyst Day 2026 transcript (May 4, 2026); Visible Alpha Consensus and Actuals Data.</w:t>
      </w:r>
    </w:p>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essentially flat since the Q1 print — subscription revenue consensus for Q2 moved only +$0.2M and FY2026 moved +$0.6M from the post-earnings baseline — indicating the Street has not yet priced in incremental upside from AI consumption acceleration or Middle East deal recovery. </w:t>
      </w:r>
      <w:r>
        <w:rPr>
          <w:rFonts w:ascii="Calibri" w:hAnsi="Calibri"/>
          <w:b/>
          <w:color w:val="525866"/>
          <w:sz w:val="22"/>
        </w:rPr>
        <w:t>The gap between consensus and guidance midpoint is near-zero, leaving no cushion if execution disappoints but also no elevated bar to clear.</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~5 Days Post Q1 Earnings (Apr 29, 2026)</w:t>
            </w:r>
          </w:p>
        </w:tc>
        <w:tc>
          <w:tcPr>
            <w:tcW w:type="dxa" w:w="1080"/>
            <w:shd w:val="clear" w:color="auto" w:fill="3B4259"/>
          </w:tcPr>
          <w:p>
            <w:r>
              <w:rPr>
                <w:rFonts w:ascii="Calibri" w:hAnsi="Calibri"/>
                <w:b/>
                <w:color w:val="FFFFFF"/>
                <w:sz w:val="22"/>
              </w:rPr>
              <w:t>Current Consensus (Jul 21,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(Apr 22 Earnings)</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Subscription Revenue — Q2 2026</w:t>
            </w:r>
          </w:p>
        </w:tc>
        <w:tc>
          <w:tcPr>
            <w:tcW w:type="dxa" w:w="1080"/>
          </w:tcPr>
          <w:p>
            <w:r>
              <w:rPr>
                <w:rFonts w:ascii="Calibri" w:hAnsi="Calibri"/>
                <w:sz w:val="22"/>
              </w:rPr>
              <w:t>$3.816B</w:t>
            </w:r>
          </w:p>
        </w:tc>
        <w:tc>
          <w:tcPr>
            <w:tcW w:type="dxa" w:w="1080"/>
          </w:tcPr>
          <w:p>
            <w:r>
              <w:rPr>
                <w:rFonts w:ascii="Calibri" w:hAnsi="Calibri"/>
                <w:sz w:val="22"/>
              </w:rPr>
              <w:t>$3.817B</w:t>
            </w:r>
          </w:p>
        </w:tc>
        <w:tc>
          <w:tcPr>
            <w:tcW w:type="dxa" w:w="1080"/>
          </w:tcPr>
          <w:p>
            <w:r>
              <w:rPr>
                <w:rFonts w:ascii="Calibri" w:hAnsi="Calibri"/>
                <w:sz w:val="22"/>
              </w:rPr>
              <w:t>+0.03%</w:t>
            </w:r>
          </w:p>
        </w:tc>
        <w:tc>
          <w:tcPr>
            <w:tcW w:type="dxa" w:w="1080"/>
          </w:tcPr>
          <w:p>
            <w:r>
              <w:rPr>
                <w:rFonts w:ascii="Calibri" w:hAnsi="Calibri"/>
                <w:sz w:val="22"/>
              </w:rPr>
              <w:t>$3.815–$3.820B (mid: $3.818B)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−0.03% (at midpoint)</w:t>
            </w:r>
          </w:p>
        </w:tc>
      </w:tr>
      <w:tr>
        <w:tc>
          <w:tcPr>
            <w:tcW w:type="dxa" w:w="1080"/>
          </w:tcPr>
          <w:p>
            <w:r>
              <w:rPr>
                <w:rFonts w:ascii="Calibri" w:hAnsi="Calibri"/>
                <w:sz w:val="22"/>
              </w:rPr>
              <w:t>Subscription Revenue — FY 2026</w:t>
            </w:r>
          </w:p>
        </w:tc>
        <w:tc>
          <w:tcPr>
            <w:tcW w:type="dxa" w:w="1080"/>
          </w:tcPr>
          <w:p>
            <w:r>
              <w:rPr>
                <w:rFonts w:ascii="Calibri" w:hAnsi="Calibri"/>
                <w:sz w:val="22"/>
              </w:rPr>
              <w:t>$15.755B</w:t>
            </w:r>
          </w:p>
        </w:tc>
        <w:tc>
          <w:tcPr>
            <w:tcW w:type="dxa" w:w="1080"/>
          </w:tcPr>
          <w:p>
            <w:r>
              <w:rPr>
                <w:rFonts w:ascii="Calibri" w:hAnsi="Calibri"/>
                <w:sz w:val="22"/>
              </w:rPr>
              <w:t>$15.761B</w:t>
            </w:r>
          </w:p>
        </w:tc>
        <w:tc>
          <w:tcPr>
            <w:tcW w:type="dxa" w:w="1080"/>
          </w:tcPr>
          <w:p>
            <w:r>
              <w:rPr>
                <w:rFonts w:ascii="Calibri" w:hAnsi="Calibri"/>
                <w:sz w:val="22"/>
              </w:rPr>
              <w:t>+0.04%</w:t>
            </w:r>
          </w:p>
        </w:tc>
        <w:tc>
          <w:tcPr>
            <w:tcW w:type="dxa" w:w="1080"/>
          </w:tcPr>
          <w:p>
            <w:r>
              <w:rPr>
                <w:rFonts w:ascii="Calibri" w:hAnsi="Calibri"/>
                <w:sz w:val="22"/>
              </w:rPr>
              <w:t>$15.735–$15.775B (mid: $15.755B)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+0.04% above midpoint</w:t>
            </w:r>
          </w:p>
        </w:tc>
      </w:tr>
      <w:tr>
        <w:tc>
          <w:tcPr>
            <w:tcW w:type="dxa" w:w="1080"/>
          </w:tcPr>
          <w:p>
            <w:r>
              <w:rPr>
                <w:rFonts w:ascii="Calibri" w:hAnsi="Calibri"/>
                <w:sz w:val="22"/>
              </w:rPr>
              <w:t>cRPO CC Growth — Q2 2026</w:t>
            </w:r>
          </w:p>
        </w:tc>
        <w:tc>
          <w:tcPr>
            <w:tcW w:type="dxa" w:w="1080"/>
          </w:tcPr>
          <w:p>
            <w:r>
              <w:rPr>
                <w:rFonts w:ascii="Calibri" w:hAnsi="Calibri"/>
                <w:sz w:val="22"/>
              </w:rPr>
              <w:t>19.5%</w:t>
            </w:r>
          </w:p>
        </w:tc>
        <w:tc>
          <w:tcPr>
            <w:tcW w:type="dxa" w:w="1080"/>
          </w:tcPr>
          <w:p>
            <w:r>
              <w:rPr>
                <w:rFonts w:ascii="Calibri" w:hAnsi="Calibri"/>
                <w:sz w:val="22"/>
              </w:rPr>
              <w:t>19.5%</w:t>
            </w:r>
          </w:p>
        </w:tc>
        <w:tc>
          <w:tcPr>
            <w:tcW w:type="dxa" w:w="1080"/>
          </w:tcPr>
          <w:p>
            <w:r>
              <w:rPr>
                <w:rFonts w:ascii="Calibri" w:hAnsi="Calibri"/>
                <w:sz w:val="22"/>
              </w:rPr>
              <w:t>Flat</w:t>
            </w:r>
          </w:p>
        </w:tc>
        <w:tc>
          <w:tcPr>
            <w:tcW w:type="dxa" w:w="1080"/>
          </w:tcPr>
          <w:p>
            <w:r>
              <w:rPr>
                <w:rFonts w:ascii="Calibri" w:hAnsi="Calibri"/>
                <w:sz w:val="22"/>
              </w:rPr>
              <w:t>19.5% CC</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guidance</w:t>
            </w:r>
          </w:p>
        </w:tc>
      </w:tr>
      <w:tr>
        <w:tc>
          <w:tcPr>
            <w:tcW w:type="dxa" w:w="1080"/>
          </w:tcPr>
          <w:p>
            <w:r>
              <w:rPr>
                <w:rFonts w:ascii="Calibri" w:hAnsi="Calibri"/>
                <w:sz w:val="22"/>
              </w:rPr>
              <w:t>Non-GAAP Operating Income — Q2 2026</w:t>
            </w:r>
          </w:p>
        </w:tc>
        <w:tc>
          <w:tcPr>
            <w:tcW w:type="dxa" w:w="1080"/>
          </w:tcPr>
          <w:p>
            <w:r>
              <w:rPr>
                <w:rFonts w:ascii="Calibri" w:hAnsi="Calibri"/>
                <w:sz w:val="22"/>
              </w:rPr>
              <w:t>$1.046B</w:t>
            </w:r>
          </w:p>
        </w:tc>
        <w:tc>
          <w:tcPr>
            <w:tcW w:type="dxa" w:w="1080"/>
          </w:tcPr>
          <w:p>
            <w:r>
              <w:rPr>
                <w:rFonts w:ascii="Calibri" w:hAnsi="Calibri"/>
                <w:sz w:val="22"/>
              </w:rPr>
              <w:t>$1.045B</w:t>
            </w:r>
          </w:p>
        </w:tc>
        <w:tc>
          <w:tcPr>
            <w:tcW w:type="dxa" w:w="1080"/>
          </w:tcPr>
          <w:p>
            <w:r>
              <w:rPr>
                <w:rFonts w:ascii="Calibri" w:hAnsi="Calibri"/>
                <w:sz w:val="22"/>
              </w:rPr>
              <w:t>−0.1%</w:t>
            </w:r>
          </w:p>
        </w:tc>
        <w:tc>
          <w:tcPr>
            <w:tcW w:type="dxa" w:w="1080"/>
          </w:tcPr>
          <w:p>
            <w:r>
              <w:rPr>
                <w:rFonts w:ascii="Calibri" w:hAnsi="Calibri"/>
                <w:sz w:val="22"/>
              </w:rPr>
              <w:t>26.5% margin</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guidance</w:t>
            </w:r>
          </w:p>
        </w:tc>
      </w:tr>
      <w:tr>
        <w:tc>
          <w:tcPr>
            <w:tcW w:type="dxa" w:w="1080"/>
          </w:tcPr>
          <w:p>
            <w:r>
              <w:rPr>
                <w:rFonts w:ascii="Calibri" w:hAnsi="Calibri"/>
                <w:sz w:val="22"/>
              </w:rPr>
              <w:t>Non-GAAP Operating Income — FY 2026</w:t>
            </w:r>
          </w:p>
        </w:tc>
        <w:tc>
          <w:tcPr>
            <w:tcW w:type="dxa" w:w="1080"/>
          </w:tcPr>
          <w:p>
            <w:r>
              <w:rPr>
                <w:rFonts w:ascii="Calibri" w:hAnsi="Calibri"/>
                <w:sz w:val="22"/>
              </w:rPr>
              <w:t>$5.098B</w:t>
            </w:r>
          </w:p>
        </w:tc>
        <w:tc>
          <w:tcPr>
            <w:tcW w:type="dxa" w:w="1080"/>
          </w:tcPr>
          <w:p>
            <w:r>
              <w:rPr>
                <w:rFonts w:ascii="Calibri" w:hAnsi="Calibri"/>
                <w:sz w:val="22"/>
              </w:rPr>
              <w:t>$5.097B</w:t>
            </w:r>
          </w:p>
        </w:tc>
        <w:tc>
          <w:tcPr>
            <w:tcW w:type="dxa" w:w="1080"/>
          </w:tcPr>
          <w:p>
            <w:r>
              <w:rPr>
                <w:rFonts w:ascii="Calibri" w:hAnsi="Calibri"/>
                <w:sz w:val="22"/>
              </w:rPr>
              <w:t>−0.02%</w:t>
            </w:r>
          </w:p>
        </w:tc>
        <w:tc>
          <w:tcPr>
            <w:tcW w:type="dxa" w:w="1080"/>
          </w:tcPr>
          <w:p>
            <w:r>
              <w:rPr>
                <w:rFonts w:ascii="Calibri" w:hAnsi="Calibri"/>
                <w:sz w:val="22"/>
              </w:rPr>
              <w:t>31.5% margin</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guidance</w:t>
            </w:r>
          </w:p>
        </w:tc>
      </w:tr>
      <w:tr>
        <w:tc>
          <w:tcPr>
            <w:tcW w:type="dxa" w:w="1080"/>
          </w:tcPr>
          <w:p>
            <w:r>
              <w:rPr>
                <w:rFonts w:ascii="Calibri" w:hAnsi="Calibri"/>
                <w:sz w:val="22"/>
              </w:rPr>
              <w:t>Free Cash Flow — Q2 2026</w:t>
            </w:r>
          </w:p>
        </w:tc>
        <w:tc>
          <w:tcPr>
            <w:tcW w:type="dxa" w:w="1080"/>
          </w:tcPr>
          <w:p>
            <w:r>
              <w:rPr>
                <w:rFonts w:ascii="Calibri" w:hAnsi="Calibri"/>
                <w:sz w:val="22"/>
              </w:rPr>
              <w:t>$0.650B</w:t>
            </w:r>
          </w:p>
        </w:tc>
        <w:tc>
          <w:tcPr>
            <w:tcW w:type="dxa" w:w="1080"/>
          </w:tcPr>
          <w:p>
            <w:r>
              <w:rPr>
                <w:rFonts w:ascii="Calibri" w:hAnsi="Calibri"/>
                <w:sz w:val="22"/>
              </w:rPr>
              <w:t>$0.648B</w:t>
            </w:r>
          </w:p>
        </w:tc>
        <w:tc>
          <w:tcPr>
            <w:tcW w:type="dxa" w:w="1080"/>
          </w:tcPr>
          <w:p>
            <w:r>
              <w:rPr>
                <w:rFonts w:ascii="Calibri" w:hAnsi="Calibri"/>
                <w:sz w:val="22"/>
              </w:rPr>
              <w:t>−0.3%</w:t>
            </w:r>
          </w:p>
        </w:tc>
        <w:tc>
          <w:tcPr>
            <w:tcW w:type="dxa" w:w="1080"/>
          </w:tcPr>
          <w:p>
            <w:r>
              <w:rPr>
                <w:rFonts w:ascii="Calibri" w:hAnsi="Calibri"/>
                <w:sz w:val="22"/>
              </w:rPr>
              <w:t>N/A (FY only: 35%)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 no Q2 FCF guidance</w:t>
            </w:r>
          </w:p>
        </w:tc>
      </w:tr>
    </w:tbl>
    <w:p>
      <w:r>
        <w:rPr>
          <w:rFonts w:ascii="Calibri" w:hAnsi="Calibri"/>
          <w:color w:val="525866"/>
          <w:sz w:val="22"/>
        </w:rPr>
        <w:t>Estimates have been essentially anchored to guidance since the Q1 print, with zero meaningful revision in either direction. This is unusual for a company with NOW’s beat history on cRPO (100–240 bps above guidance in each of the last 7 quarters) and suggests the Street is waiting for Q2 results to confirm whether the Middle East deal recovery and Now Assist consumption ramp are materializing before revising higher.</w:t>
      </w:r>
    </w:p>
    <w:p>
      <w:r>
        <w:rPr>
          <w:rFonts w:ascii="Calibri" w:hAnsi="Calibri"/>
          <w:b/>
          <w:color w:val="525866"/>
          <w:sz w:val="22"/>
        </w:rPr>
        <w:t xml:space="preserve">Source: </w:t>
      </w:r>
      <w:r>
        <w:rPr>
          <w:rFonts w:ascii="Calibri" w:hAnsi="Calibri"/>
          <w:color w:val="525866"/>
          <w:sz w:val="22"/>
        </w:rPr>
        <w:t>Visible Alpha Consensus and Actuals Data (as-of April 29, 2026 and July 21, 2026); Q1 2026 Earnings Release and Call (April 22, 2026); Financial Analyst Day transcript (May 4, 2026).</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 xml:space="preserve">The stock’s ~1% decline since the Q1 print (April 22 → July 21) masks a violent round-trip: an immediate ~18% post-earnings selloff driven by multiple compression (NTM EV/EBITDA collapsed from ~37x to ~15x over 12 months) on investor concerns about organic growth vs. inorganic M&amp;A, followed by a partial recovery as the FAD and peer AI commentary restored confidence. </w:t>
      </w:r>
      <w:r>
        <w:rPr>
          <w:rFonts w:ascii="Calibri" w:hAnsi="Calibri"/>
          <w:b/>
          <w:color w:val="525866"/>
          <w:sz w:val="22"/>
        </w:rPr>
        <w:t>Performance has been driven almost entirely by multiple contraction, not earnings revisions</w:t>
      </w:r>
      <w:r>
        <w:rPr>
          <w:rFonts w:ascii="Calibri" w:hAnsi="Calibri"/>
          <w:color w:val="525866"/>
          <w:sz w:val="22"/>
        </w:rPr>
        <w:t xml:space="preserve"> — NTM EV/EBITDA is now 15.6x vs. 37.6x a year ago, a 58% compression, while the stock is down 47% over 12 months.</w:t>
      </w:r>
    </w:p>
    <w:p>
      <w:r>
        <w:rPr>
          <w:i/>
        </w:rPr>
        <w:t>[Image not found: gs://lum-production-user-data-store/conversations/conv_01K3YWKQHQHQHQHQHQHQHQHQHQ/plotly_charts/now_stock_performance.json]</w:t>
      </w:r>
    </w:p>
    <w:p>
      <w:pPr>
        <w:jc w:val="center"/>
      </w:pPr>
      <w:r>
        <w:rPr>
          <w:i/>
          <w:color w:val="666666"/>
          <w:sz w:val="18"/>
        </w:rPr>
        <w:t>NOW vs. IGV vs. SPY — Indexed to 100 at April 22, 2026 (Q1 2026 Earnings Date). Source: Yahoo Finance / Stock Price Data.</w:t>
      </w:r>
    </w:p>
    <w:p>
      <w:r>
        <w:rPr>
          <w:rFonts w:ascii="Calibri" w:hAnsi="Calibri"/>
          <w:b/>
          <w:color w:val="525866"/>
          <w:sz w:val="22"/>
        </w:rPr>
        <w:t xml:space="preserve">Note: </w:t>
      </w:r>
      <w:r>
        <w:rPr>
          <w:rFonts w:ascii="Calibri" w:hAnsi="Calibri"/>
          <w:color w:val="525866"/>
          <w:sz w:val="22"/>
        </w:rPr>
        <w:t>Chart image path is illustrative; the indexed performance table below provides the underlying data. IGV = iShares Expanded Tech-Software Sector ETF (appropriate benchmark for enterprise application software). S&amp;P 500 (SPY) used as broad market reference.</w:t>
      </w:r>
    </w:p>
    <w:p>
      <w:pPr>
        <w:pStyle w:val="Heading2"/>
      </w:pPr>
      <w:r>
        <w:rPr>
          <w:rFonts w:ascii="Calibri" w:hAnsi="Calibri"/>
          <w:b/>
          <w:color w:val="3B4259"/>
          <w:sz w:val="28"/>
        </w:rPr>
        <w:t>Indexed Performance Since Q1 2026 Earnings (April 22, 2026 = 100)</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Date / Event</w:t>
            </w:r>
          </w:p>
        </w:tc>
        <w:tc>
          <w:tcPr>
            <w:tcW w:type="dxa" w:w="1728"/>
            <w:shd w:val="clear" w:color="auto" w:fill="3B4259"/>
          </w:tcPr>
          <w:p>
            <w:r>
              <w:rPr>
                <w:rFonts w:ascii="Calibri" w:hAnsi="Calibri"/>
                <w:b/>
                <w:color w:val="FFFFFF"/>
                <w:sz w:val="22"/>
              </w:rPr>
              <w:t>NOW (Indexed)</w:t>
            </w:r>
          </w:p>
        </w:tc>
        <w:tc>
          <w:tcPr>
            <w:tcW w:type="dxa" w:w="1728"/>
            <w:shd w:val="clear" w:color="auto" w:fill="3B4259"/>
          </w:tcPr>
          <w:p>
            <w:r>
              <w:rPr>
                <w:rFonts w:ascii="Calibri" w:hAnsi="Calibri"/>
                <w:b/>
                <w:color w:val="FFFFFF"/>
                <w:sz w:val="22"/>
              </w:rPr>
              <w:t>IGV (Indexed)</w:t>
            </w:r>
          </w:p>
        </w:tc>
        <w:tc>
          <w:tcPr>
            <w:tcW w:type="dxa" w:w="1728"/>
            <w:shd w:val="clear" w:color="auto" w:fill="3B4259"/>
          </w:tcPr>
          <w:p>
            <w:r>
              <w:rPr>
                <w:rFonts w:ascii="Calibri" w:hAnsi="Calibri"/>
                <w:b/>
                <w:color w:val="FFFFFF"/>
                <w:sz w:val="22"/>
              </w:rPr>
              <w:t>SPY (Indexed)</w:t>
            </w:r>
          </w:p>
        </w:tc>
        <w:tc>
          <w:tcPr>
            <w:tcW w:type="dxa" w:w="1728"/>
            <w:shd w:val="clear" w:color="auto" w:fill="3B4259"/>
          </w:tcPr>
          <w:p>
            <w:r>
              <w:rPr>
                <w:rFonts w:ascii="Calibri" w:hAnsi="Calibri"/>
                <w:b/>
                <w:color w:val="FFFFFF"/>
                <w:sz w:val="22"/>
              </w:rPr>
              <w:t>Key Event</w:t>
            </w:r>
          </w:p>
        </w:tc>
      </w:tr>
      <w:tr>
        <w:tc>
          <w:tcPr>
            <w:tcW w:type="dxa" w:w="1728"/>
          </w:tcPr>
          <w:p>
            <w:r>
              <w:rPr>
                <w:rFonts w:ascii="Calibri" w:hAnsi="Calibri"/>
                <w:sz w:val="22"/>
              </w:rPr>
              <w:t>Apr 22, 2026 (Q1 Earnings)</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Q1 2026 earnings beat; stock -18% AH on organic growth concerns</w:t>
            </w:r>
          </w:p>
        </w:tc>
      </w:tr>
      <w:tr>
        <w:tc>
          <w:tcPr>
            <w:tcW w:type="dxa" w:w="1728"/>
          </w:tcPr>
          <w:p>
            <w:r>
              <w:rPr>
                <w:rFonts w:ascii="Calibri" w:hAnsi="Calibri"/>
                <w:sz w:val="22"/>
              </w:rPr>
              <w:t>Apr 23, 2026</w:t>
            </w:r>
          </w:p>
        </w:tc>
        <w:tc>
          <w:tcPr>
            <w:tcW w:type="dxa" w:w="1728"/>
          </w:tcPr>
          <w:p>
            <w:r>
              <w:rPr>
                <w:rFonts w:ascii="Calibri" w:hAnsi="Calibri"/>
                <w:sz w:val="22"/>
              </w:rPr>
              <w:t>82.3</w:t>
            </w:r>
          </w:p>
        </w:tc>
        <w:tc>
          <w:tcPr>
            <w:tcW w:type="dxa" w:w="1728"/>
          </w:tcPr>
          <w:p>
            <w:r>
              <w:rPr>
                <w:rFonts w:ascii="Calibri" w:hAnsi="Calibri"/>
                <w:sz w:val="22"/>
              </w:rPr>
              <w:t>94.2</w:t>
            </w:r>
          </w:p>
        </w:tc>
        <w:tc>
          <w:tcPr>
            <w:tcW w:type="dxa" w:w="1728"/>
          </w:tcPr>
          <w:p>
            <w:r>
              <w:rPr>
                <w:rFonts w:ascii="Calibri" w:hAnsi="Calibri"/>
                <w:sz w:val="22"/>
              </w:rPr>
              <w:t>99.6</w:t>
            </w:r>
          </w:p>
        </w:tc>
        <w:tc>
          <w:tcPr>
            <w:tcW w:type="dxa" w:w="1728"/>
          </w:tcPr>
          <w:p>
            <w:r>
              <w:rPr>
                <w:rFonts w:ascii="Calibri" w:hAnsi="Calibri"/>
                <w:sz w:val="22"/>
              </w:rPr>
              <w:t>Post-earnings trough</w:t>
            </w:r>
          </w:p>
        </w:tc>
      </w:tr>
      <w:tr>
        <w:tc>
          <w:tcPr>
            <w:tcW w:type="dxa" w:w="1728"/>
          </w:tcPr>
          <w:p>
            <w:r>
              <w:rPr>
                <w:rFonts w:ascii="Calibri" w:hAnsi="Calibri"/>
                <w:sz w:val="22"/>
              </w:rPr>
              <w:t>May 4, 2026</w:t>
            </w:r>
          </w:p>
        </w:tc>
        <w:tc>
          <w:tcPr>
            <w:tcW w:type="dxa" w:w="1728"/>
          </w:tcPr>
          <w:p>
            <w:r>
              <w:rPr>
                <w:rFonts w:ascii="Calibri" w:hAnsi="Calibri"/>
                <w:sz w:val="22"/>
              </w:rPr>
              <w:t>89.2</w:t>
            </w:r>
          </w:p>
        </w:tc>
        <w:tc>
          <w:tcPr>
            <w:tcW w:type="dxa" w:w="1728"/>
          </w:tcPr>
          <w:p>
            <w:r>
              <w:rPr>
                <w:rFonts w:ascii="Calibri" w:hAnsi="Calibri"/>
                <w:sz w:val="22"/>
              </w:rPr>
              <w:t>99.7</w:t>
            </w:r>
          </w:p>
        </w:tc>
        <w:tc>
          <w:tcPr>
            <w:tcW w:type="dxa" w:w="1728"/>
          </w:tcPr>
          <w:p>
            <w:r>
              <w:rPr>
                <w:rFonts w:ascii="Calibri" w:hAnsi="Calibri"/>
                <w:sz w:val="22"/>
              </w:rPr>
              <w:t>100.9</w:t>
            </w:r>
          </w:p>
        </w:tc>
        <w:tc>
          <w:tcPr>
            <w:tcW w:type="dxa" w:w="1728"/>
          </w:tcPr>
          <w:p>
            <w:r>
              <w:rPr>
                <w:rFonts w:ascii="Calibri" w:hAnsi="Calibri"/>
                <w:sz w:val="22"/>
              </w:rPr>
              <w:t>Financial Analyst Day: $30B+ 2030 target; Now Assist ACV raised to $1.5B</w:t>
            </w:r>
          </w:p>
        </w:tc>
      </w:tr>
      <w:tr>
        <w:tc>
          <w:tcPr>
            <w:tcW w:type="dxa" w:w="1728"/>
          </w:tcPr>
          <w:p>
            <w:r>
              <w:rPr>
                <w:rFonts w:ascii="Calibri" w:hAnsi="Calibri"/>
                <w:sz w:val="22"/>
              </w:rPr>
              <w:t>May 15, 2026</w:t>
            </w:r>
          </w:p>
        </w:tc>
        <w:tc>
          <w:tcPr>
            <w:tcW w:type="dxa" w:w="1728"/>
          </w:tcPr>
          <w:p>
            <w:r>
              <w:rPr>
                <w:rFonts w:ascii="Calibri" w:hAnsi="Calibri"/>
                <w:sz w:val="22"/>
              </w:rPr>
              <w:t>92.2</w:t>
            </w:r>
          </w:p>
        </w:tc>
        <w:tc>
          <w:tcPr>
            <w:tcW w:type="dxa" w:w="1728"/>
          </w:tcPr>
          <w:p>
            <w:r>
              <w:rPr>
                <w:rFonts w:ascii="Calibri" w:hAnsi="Calibri"/>
                <w:sz w:val="22"/>
              </w:rPr>
              <w:t>103.4</w:t>
            </w:r>
          </w:p>
        </w:tc>
        <w:tc>
          <w:tcPr>
            <w:tcW w:type="dxa" w:w="1728"/>
          </w:tcPr>
          <w:p>
            <w:r>
              <w:rPr>
                <w:rFonts w:ascii="Calibri" w:hAnsi="Calibri"/>
                <w:sz w:val="22"/>
              </w:rPr>
              <w:t>103.9</w:t>
            </w:r>
          </w:p>
        </w:tc>
        <w:tc>
          <w:tcPr>
            <w:tcW w:type="dxa" w:w="1728"/>
          </w:tcPr>
          <w:p>
            <w:r>
              <w:rPr>
                <w:rFonts w:ascii="Calibri" w:hAnsi="Calibri"/>
                <w:sz w:val="22"/>
              </w:rPr>
              <w:t>$4B notes offering completed (8-K)</w:t>
            </w:r>
          </w:p>
        </w:tc>
      </w:tr>
      <w:tr>
        <w:tc>
          <w:tcPr>
            <w:tcW w:type="dxa" w:w="1728"/>
          </w:tcPr>
          <w:p>
            <w:r>
              <w:rPr>
                <w:rFonts w:ascii="Calibri" w:hAnsi="Calibri"/>
                <w:sz w:val="22"/>
              </w:rPr>
              <w:t>May 29, 2026</w:t>
            </w:r>
          </w:p>
        </w:tc>
        <w:tc>
          <w:tcPr>
            <w:tcW w:type="dxa" w:w="1728"/>
          </w:tcPr>
          <w:p>
            <w:r>
              <w:rPr>
                <w:rFonts w:ascii="Calibri" w:hAnsi="Calibri"/>
                <w:sz w:val="22"/>
              </w:rPr>
              <w:t>120.7</w:t>
            </w:r>
          </w:p>
        </w:tc>
        <w:tc>
          <w:tcPr>
            <w:tcW w:type="dxa" w:w="1728"/>
          </w:tcPr>
          <w:p>
            <w:r>
              <w:rPr>
                <w:rFonts w:ascii="Calibri" w:hAnsi="Calibri"/>
                <w:sz w:val="22"/>
              </w:rPr>
              <w:t>114.6</w:t>
            </w:r>
          </w:p>
        </w:tc>
        <w:tc>
          <w:tcPr>
            <w:tcW w:type="dxa" w:w="1728"/>
          </w:tcPr>
          <w:p>
            <w:r>
              <w:rPr>
                <w:rFonts w:ascii="Calibri" w:hAnsi="Calibri"/>
                <w:sz w:val="22"/>
              </w:rPr>
              <w:t>106.4</w:t>
            </w:r>
          </w:p>
        </w:tc>
        <w:tc>
          <w:tcPr>
            <w:tcW w:type="dxa" w:w="1728"/>
          </w:tcPr>
          <w:p>
            <w:r>
              <w:rPr>
                <w:rFonts w:ascii="Calibri" w:hAnsi="Calibri"/>
                <w:sz w:val="22"/>
              </w:rPr>
              <w:t>NOW outperforms on AI sentiment / SNOW/CRM earnings read-through</w:t>
            </w:r>
          </w:p>
        </w:tc>
      </w:tr>
      <w:tr>
        <w:tc>
          <w:tcPr>
            <w:tcW w:type="dxa" w:w="1728"/>
          </w:tcPr>
          <w:p>
            <w:r>
              <w:rPr>
                <w:rFonts w:ascii="Calibri" w:hAnsi="Calibri"/>
                <w:sz w:val="22"/>
              </w:rPr>
              <w:t>Jun 1, 2026 (Peak)</w:t>
            </w:r>
          </w:p>
        </w:tc>
        <w:tc>
          <w:tcPr>
            <w:tcW w:type="dxa" w:w="1728"/>
          </w:tcPr>
          <w:p>
            <w:r>
              <w:rPr>
                <w:rFonts w:ascii="Calibri" w:hAnsi="Calibri"/>
                <w:sz w:val="22"/>
              </w:rPr>
              <w:t>131.8</w:t>
            </w:r>
          </w:p>
        </w:tc>
        <w:tc>
          <w:tcPr>
            <w:tcW w:type="dxa" w:w="1728"/>
          </w:tcPr>
          <w:p>
            <w:r>
              <w:rPr>
                <w:rFonts w:ascii="Calibri" w:hAnsi="Calibri"/>
                <w:sz w:val="22"/>
              </w:rPr>
              <w:t>121.4</w:t>
            </w:r>
          </w:p>
        </w:tc>
        <w:tc>
          <w:tcPr>
            <w:tcW w:type="dxa" w:w="1728"/>
          </w:tcPr>
          <w:p>
            <w:r>
              <w:rPr>
                <w:rFonts w:ascii="Calibri" w:hAnsi="Calibri"/>
                <w:sz w:val="22"/>
              </w:rPr>
              <w:t>106.7</w:t>
            </w:r>
          </w:p>
        </w:tc>
        <w:tc>
          <w:tcPr>
            <w:tcW w:type="dxa" w:w="1728"/>
          </w:tcPr>
          <w:p>
            <w:r>
              <w:rPr>
                <w:rFonts w:ascii="Calibri" w:hAnsi="Calibri"/>
                <w:sz w:val="22"/>
              </w:rPr>
              <w:t>Post-earnings AI rally peak</w:t>
            </w:r>
          </w:p>
        </w:tc>
      </w:tr>
      <w:tr>
        <w:tc>
          <w:tcPr>
            <w:tcW w:type="dxa" w:w="1728"/>
          </w:tcPr>
          <w:p>
            <w:r>
              <w:rPr>
                <w:rFonts w:ascii="Calibri" w:hAnsi="Calibri"/>
                <w:sz w:val="22"/>
              </w:rPr>
              <w:t>Jun 17, 2026</w:t>
            </w:r>
          </w:p>
        </w:tc>
        <w:tc>
          <w:tcPr>
            <w:tcW w:type="dxa" w:w="1728"/>
          </w:tcPr>
          <w:p>
            <w:r>
              <w:rPr>
                <w:rFonts w:ascii="Calibri" w:hAnsi="Calibri"/>
                <w:sz w:val="22"/>
              </w:rPr>
              <w:t>92.6</w:t>
            </w:r>
          </w:p>
        </w:tc>
        <w:tc>
          <w:tcPr>
            <w:tcW w:type="dxa" w:w="1728"/>
          </w:tcPr>
          <w:p>
            <w:r>
              <w:rPr>
                <w:rFonts w:ascii="Calibri" w:hAnsi="Calibri"/>
                <w:sz w:val="22"/>
              </w:rPr>
              <w:t>100.5</w:t>
            </w:r>
          </w:p>
        </w:tc>
        <w:tc>
          <w:tcPr>
            <w:tcW w:type="dxa" w:w="1728"/>
          </w:tcPr>
          <w:p>
            <w:r>
              <w:rPr>
                <w:rFonts w:ascii="Calibri" w:hAnsi="Calibri"/>
                <w:sz w:val="22"/>
              </w:rPr>
              <w:t>104.2</w:t>
            </w:r>
          </w:p>
        </w:tc>
        <w:tc>
          <w:tcPr>
            <w:tcW w:type="dxa" w:w="1728"/>
          </w:tcPr>
          <w:p>
            <w:r>
              <w:rPr>
                <w:rFonts w:ascii="Calibri" w:hAnsi="Calibri"/>
                <w:sz w:val="22"/>
              </w:rPr>
              <w:t>Pullback; macro/rate concerns</w:t>
            </w:r>
          </w:p>
        </w:tc>
      </w:tr>
      <w:tr>
        <w:tc>
          <w:tcPr>
            <w:tcW w:type="dxa" w:w="1728"/>
          </w:tcPr>
          <w:p>
            <w:r>
              <w:rPr>
                <w:rFonts w:ascii="Calibri" w:hAnsi="Calibri"/>
                <w:sz w:val="22"/>
              </w:rPr>
              <w:t>Jul 21, 2026 (Today)</w:t>
            </w:r>
          </w:p>
        </w:tc>
        <w:tc>
          <w:tcPr>
            <w:tcW w:type="dxa" w:w="1728"/>
          </w:tcPr>
          <w:p>
            <w:r>
              <w:rPr>
                <w:rFonts w:ascii="Calibri" w:hAnsi="Calibri"/>
                <w:sz w:val="22"/>
              </w:rPr>
              <w:t>99.0</w:t>
            </w:r>
          </w:p>
        </w:tc>
        <w:tc>
          <w:tcPr>
            <w:tcW w:type="dxa" w:w="1728"/>
          </w:tcPr>
          <w:p>
            <w:r>
              <w:rPr>
                <w:rFonts w:ascii="Calibri" w:hAnsi="Calibri"/>
                <w:sz w:val="22"/>
              </w:rPr>
              <w:t>103.5</w:t>
            </w:r>
          </w:p>
        </w:tc>
        <w:tc>
          <w:tcPr>
            <w:tcW w:type="dxa" w:w="1728"/>
          </w:tcPr>
          <w:p>
            <w:r>
              <w:rPr>
                <w:rFonts w:ascii="Calibri" w:hAnsi="Calibri"/>
                <w:sz w:val="22"/>
              </w:rPr>
              <w:t>105.2</w:t>
            </w:r>
          </w:p>
        </w:tc>
        <w:tc>
          <w:tcPr>
            <w:tcW w:type="dxa" w:w="1728"/>
          </w:tcPr>
          <w:p>
            <w:r>
              <w:rPr>
                <w:rFonts w:ascii="Calibri" w:hAnsi="Calibri"/>
                <w:sz w:val="22"/>
              </w:rPr>
              <w:t>Pre-earnings; NOW lagging IGV and SPY since Q1 print</w:t>
            </w:r>
          </w:p>
        </w:tc>
      </w:tr>
    </w:tbl>
    <w:p>
      <w:r>
        <w:rPr>
          <w:rFonts w:ascii="Calibri" w:hAnsi="Calibri"/>
          <w:color w:val="525866"/>
          <w:sz w:val="22"/>
        </w:rPr>
        <w:t>Indexed values computed from closing prices: NOW base = $103.07, IGV base = $88.74, SPY base = $711.21 (all April 22, 2026). The 12-month NTM EV/EBITDA multiple compressed from 37.6x to 15.6x (−58%), while 6-month compression is 31.5% (from 22.7x). Over the same 6-month window, the stock is down 19.8%, implying the vast majority of the decline is multiple-driven rather than estimate-driven — a setup where any re-rating catalyst (AI monetization proof point, organic cRPO beat) could be disproportionately powerful.</w:t>
      </w:r>
    </w:p>
    <w:p>
      <w:r>
        <w:rPr>
          <w:rFonts w:ascii="Calibri" w:hAnsi="Calibri"/>
          <w:b/>
          <w:color w:val="525866"/>
          <w:sz w:val="22"/>
        </w:rPr>
        <w:t xml:space="preserve">Source: </w:t>
      </w:r>
      <w:r>
        <w:rPr>
          <w:rFonts w:ascii="Calibri" w:hAnsi="Calibri"/>
          <w:color w:val="525866"/>
          <w:sz w:val="22"/>
        </w:rPr>
        <w:t>Stock Price Data (Yahoo Finance); Stock Performance Decomposition (NTM EV/EBITDA multiples).</w:t>
      </w:r>
    </w:p>
    <w:p>
      <w:r>
        <w:br w:type="page"/>
      </w:r>
    </w:p>
    <w:p>
      <w:pPr>
        <w:pStyle w:val="Heading1"/>
        <w:pBdr>
          <w:bottom w:val="single" w:sz="4" w:space="1" w:color="FB9120"/>
        </w:pBdr>
      </w:pPr>
      <w:r>
        <w:rPr>
          <w:rFonts w:ascii="Calibri" w:hAnsi="Calibri"/>
          <w:b/>
          <w:color w:val="3B4259"/>
          <w:sz w:val="40"/>
        </w:rPr>
        <w:t>6. Peer Commentaries &amp; Read-Throughs</w:t>
      </w:r>
    </w:p>
    <w:p>
      <w:r>
        <w:rPr>
          <w:rFonts w:ascii="Calibri" w:hAnsi="Calibri"/>
          <w:b/>
          <w:color w:val="525866"/>
          <w:sz w:val="22"/>
        </w:rPr>
        <w:t xml:space="preserve">Key Takeaway: </w:t>
      </w:r>
      <w:r>
        <w:rPr>
          <w:rFonts w:ascii="Calibri" w:hAnsi="Calibri"/>
          <w:color w:val="525866"/>
          <w:sz w:val="22"/>
        </w:rPr>
        <w:t>Peer commentary from May–July 2026 is uniformly constructive for NOW: Snowflake’s AI revenue step-change and guidance raise, Salesforce’s Agentforce ARR crossing $1B, and Autodesk’s enterprise demand resilience all validate the AI-driven enterprise software demand environment. The one negative read-through is Salesforce’s explicit mention of winning an ITSM deal from ServiceNow (McAfee), flagging direct competitive pressure in NOW’s core market.</w:t>
      </w:r>
    </w:p>
    <w:p>
      <w:r>
        <w:rPr>
          <w:rFonts w:ascii="Calibri" w:hAnsi="Calibri"/>
          <w:b/>
          <w:color w:val="525866"/>
          <w:sz w:val="22"/>
        </w:rPr>
        <w:t xml:space="preserve">Scope: </w:t>
      </w:r>
      <w:r>
        <w:rPr>
          <w:rFonts w:ascii="Calibri" w:hAnsi="Calibri"/>
          <w:color w:val="525866"/>
          <w:sz w:val="22"/>
        </w:rPr>
        <w:t>Only commentary published May 22–July 21, 2026 that addresses the peer’s then-current or forward/unreported quarter, or was made after its latest earnings, is included below. Retrospective prior-quarter-only commentary is excluded.</w:t>
      </w:r>
    </w:p>
    <w:p>
      <w:pPr>
        <w:pStyle w:val="Heading2"/>
      </w:pPr>
      <w:r>
        <w:rPr>
          <w:rFonts w:ascii="Calibri" w:hAnsi="Calibri"/>
          <w:b/>
          <w:color w:val="3B4259"/>
          <w:sz w:val="28"/>
        </w:rPr>
        <w:t>6.1 Snowflake (SNOW) — Q1 FY2027 Earnings Call (May 27, 2026)</w:t>
      </w:r>
    </w:p>
    <w:p>
      <w:r>
        <w:rPr>
          <w:rFonts w:ascii="Calibri" w:hAnsi="Calibri"/>
          <w:b/>
          <w:color w:val="525866"/>
          <w:sz w:val="22"/>
        </w:rPr>
        <w:t xml:space="preserve">Read-Through Strength: </w:t>
      </w:r>
      <w:r>
        <w:rPr>
          <w:rFonts w:ascii="Calibri" w:hAnsi="Calibri"/>
          <w:color w:val="525866"/>
          <w:sz w:val="22"/>
        </w:rPr>
        <w:t>Direct — Snowflake’s results and forward guidance are among the most relevant AI enterprise software read-throughs for NOW.</w:t>
      </w:r>
    </w:p>
    <w:p>
      <w:pPr>
        <w:pStyle w:val="ListBullet"/>
        <w:ind w:left="360" w:hanging="360"/>
      </w:pPr>
      <w:r>
        <w:rPr>
          <w:rFonts w:ascii="Calibri" w:hAnsi="Calibri"/>
          <w:b/>
          <w:color w:val="525866"/>
          <w:sz w:val="22"/>
        </w:rPr>
        <w:t xml:space="preserve">AI revenue step-change: </w:t>
      </w:r>
      <w:r>
        <w:rPr>
          <w:rFonts w:ascii="Calibri" w:hAnsi="Calibri"/>
          <w:color w:val="525866"/>
          <w:sz w:val="22"/>
        </w:rPr>
        <w:t>CEO Sridhar Ramaswamy stated “Since last quarter, we’ve seen a step function change in our AI revenue opportunity led by Cortex Code.” Snowflake raised FY2027 product revenue guidance from 27% to 31% YoY growth ($5.84B), driven by “a combination of strength in our core data platform business and meaningful uplift from AI capabilities.” This validates that AI is now a material, measurable revenue contributor in enterprise software — directly supportive of NOW’s $1.5B Now Assist ACV target.</w:t>
      </w:r>
    </w:p>
    <w:p>
      <w:pPr>
        <w:pStyle w:val="ListBullet"/>
        <w:ind w:left="360" w:hanging="360"/>
      </w:pPr>
      <w:r>
        <w:rPr>
          <w:rFonts w:ascii="Calibri" w:hAnsi="Calibri"/>
          <w:b/>
          <w:color w:val="525866"/>
          <w:sz w:val="22"/>
        </w:rPr>
        <w:t xml:space="preserve">Accelerating deal velocity: </w:t>
      </w:r>
      <w:r>
        <w:rPr>
          <w:rFonts w:ascii="Calibri" w:hAnsi="Calibri"/>
          <w:color w:val="525866"/>
          <w:sz w:val="22"/>
        </w:rPr>
        <w:t>46 customers crossed the $1M threshold in Q1 vs. 26 in the prior year period; 8 customers surpassed $10M in trailing 12-month revenue. AI tools like Cortex Code compressed complex Teradata migrations from 2 years to “between a quarter and 2 quarters” — a direct positive for NOW’s deployment speed flywheel thesis.</w:t>
      </w:r>
    </w:p>
    <w:p>
      <w:pPr>
        <w:pStyle w:val="ListBullet"/>
        <w:ind w:left="360" w:hanging="360"/>
      </w:pPr>
      <w:r>
        <w:rPr>
          <w:rFonts w:ascii="Calibri" w:hAnsi="Calibri"/>
          <w:b/>
          <w:color w:val="525866"/>
          <w:sz w:val="22"/>
        </w:rPr>
        <w:t xml:space="preserve">AI gross margin management: </w:t>
      </w:r>
      <w:r>
        <w:rPr>
          <w:rFonts w:ascii="Calibri" w:hAnsi="Calibri"/>
          <w:color w:val="525866"/>
          <w:sz w:val="22"/>
        </w:rPr>
        <w:t>CFO Brian Robins noted “Our AI products have a lower gross margin than our core platform” but maintained 75% product gross margin guidance for the full year via infrastructure cost offsets (AWS contract). Relevant for NOW’s own AI inference cost management and subscription gross margin guidance of 81.5%.</w:t>
      </w:r>
    </w:p>
    <w:p>
      <w:pPr>
        <w:pStyle w:val="ListBullet"/>
        <w:ind w:left="360" w:hanging="360"/>
      </w:pPr>
      <w:r>
        <w:rPr>
          <w:rFonts w:ascii="Calibri" w:hAnsi="Calibri"/>
          <w:b/>
          <w:color w:val="525866"/>
          <w:sz w:val="22"/>
        </w:rPr>
        <w:t xml:space="preserve">Guidance confidence: </w:t>
      </w:r>
      <w:r>
        <w:rPr>
          <w:rFonts w:ascii="Calibri" w:hAnsi="Calibri"/>
          <w:color w:val="525866"/>
          <w:sz w:val="22"/>
        </w:rPr>
        <w:t>Non-GAAP operating margin guidance raised from 12.5% to 13.5% for FY2027. RPO grew 38% YoY. “With an AI-first mindset, customers are moving to the cloud and to Snowflake with increasing urgency.”</w:t>
      </w:r>
    </w:p>
    <w:p>
      <w:pPr>
        <w:pStyle w:val="Heading2"/>
      </w:pPr>
      <w:r>
        <w:rPr>
          <w:rFonts w:ascii="Calibri" w:hAnsi="Calibri"/>
          <w:b/>
          <w:color w:val="3B4259"/>
          <w:sz w:val="28"/>
        </w:rPr>
        <w:t>6.2 Salesforce (CRM) — Q1 FY2027 Earnings Call (May 27, 2026)</w:t>
      </w:r>
    </w:p>
    <w:p>
      <w:r>
        <w:rPr>
          <w:rFonts w:ascii="Calibri" w:hAnsi="Calibri"/>
          <w:b/>
          <w:color w:val="525866"/>
          <w:sz w:val="22"/>
        </w:rPr>
        <w:t xml:space="preserve">Read-Through Strength: </w:t>
      </w:r>
      <w:r>
        <w:rPr>
          <w:rFonts w:ascii="Calibri" w:hAnsi="Calibri"/>
          <w:color w:val="525866"/>
          <w:sz w:val="22"/>
        </w:rPr>
        <w:t>Direct (positive on AI monetization; negative on ITSM competition).</w:t>
      </w:r>
    </w:p>
    <w:p>
      <w:pPr>
        <w:pStyle w:val="ListBullet"/>
        <w:ind w:left="360" w:hanging="360"/>
      </w:pPr>
      <w:r>
        <w:rPr>
          <w:rFonts w:ascii="Calibri" w:hAnsi="Calibri"/>
          <w:b/>
          <w:color w:val="525866"/>
          <w:sz w:val="22"/>
        </w:rPr>
        <w:t xml:space="preserve">Agentforce ARR crosses $1B: </w:t>
      </w:r>
      <w:r>
        <w:rPr>
          <w:rFonts w:ascii="Calibri" w:hAnsi="Calibri"/>
          <w:color w:val="525866"/>
          <w:sz w:val="22"/>
        </w:rPr>
        <w:t>CFO Robin Washington confirmed “Agentforce ARR surpassed the $1 billion mark this quarter.” Premium AI SKU bookings (A1E and A4X) grew nearly 60% YoY. This validates enterprise willingness to pay for AI capabilities at scale — directly supportive of NOW’s $1.5B Now Assist ACV target and new tiered pricing model.</w:t>
      </w:r>
    </w:p>
    <w:p>
      <w:pPr>
        <w:pStyle w:val="ListBullet"/>
        <w:ind w:left="360" w:hanging="360"/>
      </w:pPr>
      <w:r>
        <w:rPr>
          <w:rFonts w:ascii="Calibri" w:hAnsi="Calibri"/>
          <w:b/>
          <w:color w:val="525866"/>
          <w:sz w:val="22"/>
        </w:rPr>
        <w:t xml:space="preserve">AI is expanding, not replacing, seats: </w:t>
      </w:r>
      <w:r>
        <w:rPr>
          <w:rFonts w:ascii="Calibri" w:hAnsi="Calibri"/>
          <w:color w:val="525866"/>
          <w:sz w:val="22"/>
        </w:rPr>
        <w:t>Washington noted “Sales and Service saw year-over-year seat growth with humans and agents both expanding on the platform.” Top 10 customers by AI usage increased total Salesforce spend 1.5x in the last year. CRO Milano: “People think that AI is going to reduce licenses. So far, it’s increasing licenses.” Directly validates NOW’s hybrid seat + consumption model.</w:t>
      </w:r>
    </w:p>
    <w:p>
      <w:pPr>
        <w:pStyle w:val="ListBullet"/>
        <w:ind w:left="360" w:hanging="360"/>
      </w:pPr>
      <w:r>
        <w:rPr>
          <w:rFonts w:ascii="Calibri" w:hAnsi="Calibri"/>
          <w:b/>
          <w:color w:val="525866"/>
          <w:sz w:val="22"/>
        </w:rPr>
        <w:t xml:space="preserve">Record large deal activity: </w:t>
      </w:r>
      <w:r>
        <w:rPr>
          <w:rFonts w:ascii="Calibri" w:hAnsi="Calibri"/>
          <w:color w:val="525866"/>
          <w:sz w:val="22"/>
        </w:rPr>
        <w:t>98 Q1 deals with &gt;$1M in new ACV (a record); top 10 deals represented $800M in bookings, 2.5x Q1 last year. 3 of those were successful pilots converting to large production deals. Positive read-through for NOW’s large deal pipeline.</w:t>
      </w:r>
    </w:p>
    <w:p>
      <w:pPr>
        <w:pStyle w:val="ListBullet"/>
        <w:ind w:left="360" w:hanging="360"/>
      </w:pPr>
      <w:r>
        <w:rPr>
          <w:rFonts w:ascii="Calibri" w:hAnsi="Calibri"/>
          <w:b/>
          <w:color w:val="525866"/>
          <w:sz w:val="22"/>
        </w:rPr>
        <w:t xml:space="preserve">Direct competitive threat — ITSM: </w:t>
      </w:r>
      <w:r>
        <w:rPr>
          <w:rFonts w:ascii="Calibri" w:hAnsi="Calibri"/>
          <w:color w:val="525866"/>
          <w:sz w:val="22"/>
        </w:rPr>
        <w:t>CEO Marc Benioff explicitly stated “McAfee has selected our new Agentforce ITSM product or what we call Agentforce IT service to replace ServiceNow.” This is a direct competitive displacement in NOW’s core ITSM market and the most significant negative read-through in the peer set.</w:t>
      </w:r>
    </w:p>
    <w:p>
      <w:pPr>
        <w:pStyle w:val="ListBullet"/>
        <w:ind w:left="360" w:hanging="360"/>
      </w:pPr>
      <w:r>
        <w:rPr>
          <w:rFonts w:ascii="Calibri" w:hAnsi="Calibri"/>
          <w:b/>
          <w:color w:val="525866"/>
          <w:sz w:val="22"/>
        </w:rPr>
        <w:t xml:space="preserve">H2 revenue reacceleration committed: </w:t>
      </w:r>
      <w:r>
        <w:rPr>
          <w:rFonts w:ascii="Calibri" w:hAnsi="Calibri"/>
          <w:color w:val="525866"/>
          <w:sz w:val="22"/>
        </w:rPr>
        <w:t>FY2027 revenue guidance raised to $45.9–$46.2B midpoint; Q2 CRPO growth guided at ~13% CC. Management “committed 8 months ago, with less visibility but with a lot of conviction” that H2 revenue would reaccelerate — suggesting improving enterprise software demand into the back half of 2026.</w:t>
      </w:r>
    </w:p>
    <w:p>
      <w:pPr>
        <w:pStyle w:val="Heading2"/>
      </w:pPr>
      <w:r>
        <w:rPr>
          <w:rFonts w:ascii="Calibri" w:hAnsi="Calibri"/>
          <w:b/>
          <w:color w:val="3B4259"/>
          <w:sz w:val="28"/>
        </w:rPr>
        <w:t>6.3 Salesforce (CRM) — Bank of America Global Technology Conference (June 2, 2026)</w:t>
      </w:r>
    </w:p>
    <w:p>
      <w:r>
        <w:rPr>
          <w:rFonts w:ascii="Calibri" w:hAnsi="Calibri"/>
          <w:b/>
          <w:color w:val="525866"/>
          <w:sz w:val="22"/>
        </w:rPr>
        <w:t xml:space="preserve">Read-Through Strength: </w:t>
      </w:r>
      <w:r>
        <w:rPr>
          <w:rFonts w:ascii="Calibri" w:hAnsi="Calibri"/>
          <w:color w:val="525866"/>
          <w:sz w:val="22"/>
        </w:rPr>
        <w:t>Direct — forward-looking commentary on AI demand, pricing, and consumption trends for the current (unreported) quarter.</w:t>
      </w:r>
    </w:p>
    <w:p>
      <w:pPr>
        <w:pStyle w:val="ListBullet"/>
        <w:ind w:left="360" w:hanging="360"/>
      </w:pPr>
      <w:r>
        <w:rPr>
          <w:rFonts w:ascii="Calibri" w:hAnsi="Calibri"/>
          <w:b/>
          <w:color w:val="525866"/>
          <w:sz w:val="22"/>
        </w:rPr>
        <w:t xml:space="preserve">AI consumption exploding: </w:t>
      </w:r>
      <w:r>
        <w:rPr>
          <w:rFonts w:ascii="Calibri" w:hAnsi="Calibri"/>
          <w:color w:val="525866"/>
          <w:sz w:val="22"/>
        </w:rPr>
        <w:t>CRO Miguel Milano stated “AW use [Agentic Work use]... grew double the AW use quarter-on-quarter, 7x Q1 versus Q1.” He projected “in 5 years, we’ll be probably 500x more consumption than we are today.” Directly validates NOW’s thesis that AI consumption will compound as workloads become more complex.</w:t>
      </w:r>
    </w:p>
    <w:p>
      <w:pPr>
        <w:pStyle w:val="ListBullet"/>
        <w:ind w:left="360" w:hanging="360"/>
      </w:pPr>
      <w:r>
        <w:rPr>
          <w:rFonts w:ascii="Calibri" w:hAnsi="Calibri"/>
          <w:b/>
          <w:color w:val="525866"/>
          <w:sz w:val="22"/>
        </w:rPr>
        <w:t xml:space="preserve">Customer spend multiplier from AI: </w:t>
      </w:r>
      <w:r>
        <w:rPr>
          <w:rFonts w:ascii="Calibri" w:hAnsi="Calibri"/>
          <w:color w:val="525866"/>
          <w:sz w:val="22"/>
        </w:rPr>
        <w:t>Customers starting their agentic journey increase spend “by 50% or even 100%”; fully advanced customers spend “3 to 4x” their pre-agentic level. Directly maps to NOW’s own data showing Now Assist customers spending &gt;$1M grew 130% YoY and existing customers who renewed in 2025 expanded ACV by over 3x.</w:t>
      </w:r>
    </w:p>
    <w:p>
      <w:pPr>
        <w:pStyle w:val="ListBullet"/>
        <w:ind w:left="360" w:hanging="360"/>
      </w:pPr>
      <w:r>
        <w:rPr>
          <w:rFonts w:ascii="Calibri" w:hAnsi="Calibri"/>
          <w:b/>
          <w:color w:val="525866"/>
          <w:sz w:val="22"/>
        </w:rPr>
        <w:t xml:space="preserve">Data readiness as bottleneck: </w:t>
      </w:r>
      <w:r>
        <w:rPr>
          <w:rFonts w:ascii="Calibri" w:hAnsi="Calibri"/>
          <w:color w:val="525866"/>
          <w:sz w:val="22"/>
        </w:rPr>
        <w:t>Milano noted “Every company, the first thing that they realize is the data is not ready. There is not enough and the quality is not there.” This is a partial read-through for NOW’s Workflow Data Fabric and RaptorDB Pro positioning — data readiness challenges create demand for NOW’s data integration layer.</w:t>
      </w:r>
    </w:p>
    <w:p>
      <w:pPr>
        <w:pStyle w:val="ListBullet"/>
        <w:ind w:left="360" w:hanging="360"/>
      </w:pPr>
      <w:r>
        <w:rPr>
          <w:rFonts w:ascii="Calibri" w:hAnsi="Calibri"/>
          <w:b/>
          <w:color w:val="525866"/>
          <w:sz w:val="22"/>
        </w:rPr>
        <w:t xml:space="preserve">H2 reacceleration confidence: </w:t>
      </w:r>
      <w:r>
        <w:rPr>
          <w:rFonts w:ascii="Calibri" w:hAnsi="Calibri"/>
          <w:color w:val="525866"/>
          <w:sz w:val="22"/>
        </w:rPr>
        <w:t>Headless 360 strategy “not factoring any of that in our H2 revenue reacceleration” — suggesting potential upside to current guidance, a positive macro signal for enterprise software demand in Q2–Q3 2026.</w:t>
      </w:r>
    </w:p>
    <w:p>
      <w:pPr>
        <w:pStyle w:val="Heading2"/>
      </w:pPr>
      <w:r>
        <w:rPr>
          <w:rFonts w:ascii="Calibri" w:hAnsi="Calibri"/>
          <w:b/>
          <w:color w:val="3B4259"/>
          <w:sz w:val="28"/>
        </w:rPr>
        <w:t>6.4 Datadog (DDOG) — Bank of America Global Technology Conference (June 3, 2026)</w:t>
      </w:r>
    </w:p>
    <w:p>
      <w:r>
        <w:rPr>
          <w:rFonts w:ascii="Calibri" w:hAnsi="Calibri"/>
          <w:b/>
          <w:color w:val="525866"/>
          <w:sz w:val="22"/>
        </w:rPr>
        <w:t xml:space="preserve">Read-Through Strength: </w:t>
      </w:r>
      <w:r>
        <w:rPr>
          <w:rFonts w:ascii="Calibri" w:hAnsi="Calibri"/>
          <w:color w:val="525866"/>
          <w:sz w:val="22"/>
        </w:rPr>
        <w:t>Partial to Direct — forward-looking commentary on enterprise IT spending and AI demand environment.</w:t>
      </w:r>
    </w:p>
    <w:p>
      <w:pPr>
        <w:pStyle w:val="ListBullet"/>
        <w:ind w:left="360" w:hanging="360"/>
      </w:pPr>
      <w:r>
        <w:rPr>
          <w:rFonts w:ascii="Calibri" w:hAnsi="Calibri"/>
          <w:b/>
          <w:color w:val="525866"/>
          <w:sz w:val="22"/>
        </w:rPr>
        <w:t xml:space="preserve">Sustained buying environment: </w:t>
      </w:r>
      <w:r>
        <w:rPr>
          <w:rFonts w:ascii="Calibri" w:hAnsi="Calibri"/>
          <w:color w:val="525866"/>
          <w:sz w:val="22"/>
        </w:rPr>
        <w:t>CFO David Obstler stated “we have seen a good buying environment” that has been “accelerating for 3 or 4 quarters” and “building on itself.” Platform growth is resonating with “significant demand cycle in AI native companies.” Positive read-through for NOW’s enterprise demand environment heading into Q2.</w:t>
      </w:r>
    </w:p>
    <w:p>
      <w:pPr>
        <w:pStyle w:val="ListBullet"/>
        <w:ind w:left="360" w:hanging="360"/>
      </w:pPr>
      <w:r>
        <w:rPr>
          <w:rFonts w:ascii="Calibri" w:hAnsi="Calibri"/>
          <w:b/>
          <w:color w:val="525866"/>
          <w:sz w:val="22"/>
        </w:rPr>
        <w:t xml:space="preserve">Long investment cycle: </w:t>
      </w:r>
      <w:r>
        <w:rPr>
          <w:rFonts w:ascii="Calibri" w:hAnsi="Calibri"/>
          <w:color w:val="525866"/>
          <w:sz w:val="22"/>
        </w:rPr>
        <w:t>“This is a very long time investment cycle because such a high percentage of applications and infrastructure are still on legacy technologies” with “70% plus of workloads that aren’t in the cloud.” Validates the secular tailwind underpinning NOW’s multi-year growth trajectory.</w:t>
      </w:r>
    </w:p>
    <w:p>
      <w:pPr>
        <w:pStyle w:val="ListBullet"/>
        <w:ind w:left="360" w:hanging="360"/>
      </w:pPr>
      <w:r>
        <w:rPr>
          <w:rFonts w:ascii="Calibri" w:hAnsi="Calibri"/>
          <w:b/>
          <w:color w:val="525866"/>
          <w:sz w:val="22"/>
        </w:rPr>
        <w:t xml:space="preserve">Large enterprise expansions continuing: </w:t>
      </w:r>
      <w:r>
        <w:rPr>
          <w:rFonts w:ascii="Calibri" w:hAnsi="Calibri"/>
          <w:color w:val="525866"/>
          <w:sz w:val="22"/>
        </w:rPr>
        <w:t>Obstler noted “large lands” and “very substantial expansions” from traditional enterprises modernizing their tech stacks. Positive read-through for NOW’s land-and-expand motion in large enterprise accounts.</w:t>
      </w:r>
    </w:p>
    <w:p>
      <w:pPr>
        <w:pStyle w:val="ListBullet"/>
        <w:ind w:left="360" w:hanging="360"/>
      </w:pPr>
      <w:r>
        <w:rPr>
          <w:rFonts w:ascii="Calibri" w:hAnsi="Calibri"/>
          <w:b/>
          <w:color w:val="525866"/>
          <w:sz w:val="22"/>
        </w:rPr>
        <w:t xml:space="preserve">AI monetization early but growing: </w:t>
      </w:r>
      <w:r>
        <w:rPr>
          <w:rFonts w:ascii="Calibri" w:hAnsi="Calibri"/>
          <w:color w:val="525866"/>
          <w:sz w:val="22"/>
        </w:rPr>
        <w:t>“Significant growth” in LLM observability; Bits SRE used by 2,000 customers with 100,000+ investigations. AI is “a huge accelerant” of cloud conversion. Validates the broader enterprise AI monetization trend.</w:t>
      </w:r>
    </w:p>
    <w:p>
      <w:pPr>
        <w:pStyle w:val="Heading2"/>
      </w:pPr>
      <w:r>
        <w:rPr>
          <w:rFonts w:ascii="Calibri" w:hAnsi="Calibri"/>
          <w:b/>
          <w:color w:val="3B4259"/>
          <w:sz w:val="28"/>
        </w:rPr>
        <w:t>6.5 Autodesk (ADSK) — Q1 FY2027 Earnings Call (May 28, 2026)</w:t>
      </w:r>
    </w:p>
    <w:p>
      <w:r>
        <w:rPr>
          <w:rFonts w:ascii="Calibri" w:hAnsi="Calibri"/>
          <w:b/>
          <w:color w:val="525866"/>
          <w:sz w:val="22"/>
        </w:rPr>
        <w:t xml:space="preserve">Read-Through Strength: </w:t>
      </w:r>
      <w:r>
        <w:rPr>
          <w:rFonts w:ascii="Calibri" w:hAnsi="Calibri"/>
          <w:color w:val="525866"/>
          <w:sz w:val="22"/>
        </w:rPr>
        <w:t>Direct on enterprise demand resilience and AI strategy; partial on pricing and consumption trends.</w:t>
      </w:r>
    </w:p>
    <w:p>
      <w:pPr>
        <w:pStyle w:val="ListBullet"/>
        <w:ind w:left="360" w:hanging="360"/>
      </w:pPr>
      <w:r>
        <w:rPr>
          <w:rFonts w:ascii="Calibri" w:hAnsi="Calibri"/>
          <w:b/>
          <w:color w:val="525866"/>
          <w:sz w:val="22"/>
        </w:rPr>
        <w:t xml:space="preserve">Enterprise demand resilient: </w:t>
      </w:r>
      <w:r>
        <w:rPr>
          <w:rFonts w:ascii="Calibri" w:hAnsi="Calibri"/>
          <w:color w:val="525866"/>
          <w:sz w:val="22"/>
        </w:rPr>
        <w:t>Revenue and EPS above the high end of guidance; full-year guidance raised. “The macroeconomic environment will remain broadly stable through the year.” Customers are “choosing to consolidate fragmented legacy systems onto Autodesk platform” — directly mirrors NOW’s platform consolidation thesis.</w:t>
      </w:r>
    </w:p>
    <w:p>
      <w:pPr>
        <w:pStyle w:val="ListBullet"/>
        <w:ind w:left="360" w:hanging="360"/>
      </w:pPr>
      <w:r>
        <w:rPr>
          <w:rFonts w:ascii="Calibri" w:hAnsi="Calibri"/>
          <w:b/>
          <w:color w:val="525866"/>
          <w:sz w:val="22"/>
        </w:rPr>
        <w:t xml:space="preserve">Agentic AI as competitive moat: </w:t>
      </w:r>
      <w:r>
        <w:rPr>
          <w:rFonts w:ascii="Calibri" w:hAnsi="Calibri"/>
          <w:color w:val="525866"/>
          <w:sz w:val="22"/>
        </w:rPr>
        <w:t>“Building Agentic AI requires data, context and expertise. What differentiates Autodesk is that we have all 3 at scale, and each one is scarce.” Validates NOW’s positioning that proprietary workflow metadata and context (100B+ workflows) is a durable AI moat vs. generic LLM competitors.</w:t>
      </w:r>
    </w:p>
    <w:p>
      <w:pPr>
        <w:pStyle w:val="ListBullet"/>
        <w:ind w:left="360" w:hanging="360"/>
      </w:pPr>
      <w:r>
        <w:rPr>
          <w:rFonts w:ascii="Calibri" w:hAnsi="Calibri"/>
          <w:b/>
          <w:color w:val="525866"/>
          <w:sz w:val="22"/>
        </w:rPr>
        <w:t xml:space="preserve">Capacity and productivity as primary customer pain: </w:t>
      </w:r>
      <w:r>
        <w:rPr>
          <w:rFonts w:ascii="Calibri" w:hAnsi="Calibri"/>
          <w:color w:val="525866"/>
          <w:sz w:val="22"/>
        </w:rPr>
        <w:t>CFO Moorjani: “The biggest problem that our customers face today is one of capacity and productivity” — customers “don’t have enough people to do all the work that needs to be done.” This is the core value proposition of NOW’s agentic AI and autonomous workforce strategy.</w:t>
      </w:r>
    </w:p>
    <w:p>
      <w:pPr>
        <w:pStyle w:val="ListBullet"/>
        <w:ind w:left="360" w:hanging="360"/>
      </w:pPr>
      <w:r>
        <w:rPr>
          <w:rFonts w:ascii="Calibri" w:hAnsi="Calibri"/>
          <w:b/>
          <w:color w:val="525866"/>
          <w:sz w:val="22"/>
        </w:rPr>
        <w:t xml:space="preserve">Pricing evolution: </w:t>
      </w:r>
      <w:r>
        <w:rPr>
          <w:rFonts w:ascii="Calibri" w:hAnsi="Calibri"/>
          <w:color w:val="525866"/>
          <w:sz w:val="22"/>
        </w:rPr>
        <w:t>Autodesk is reducing multiyear discounting to improve price realization, backed by strong renewal rates. Partial read-through for NOW’s own pricing discipline and renewal rate (97% in Q1 2026).</w:t>
      </w:r>
    </w:p>
    <w:p>
      <w:pPr>
        <w:pStyle w:val="Heading2"/>
      </w:pPr>
      <w:r>
        <w:rPr>
          <w:rFonts w:ascii="Calibri" w:hAnsi="Calibri"/>
          <w:b/>
          <w:color w:val="3B4259"/>
          <w:sz w:val="28"/>
        </w:rPr>
        <w:t>6.6 Autodesk (ADSK) — Bank of America Global Technology Conference (June 3, 2026)</w:t>
      </w:r>
    </w:p>
    <w:p>
      <w:r>
        <w:rPr>
          <w:rFonts w:ascii="Calibri" w:hAnsi="Calibri"/>
          <w:b/>
          <w:color w:val="525866"/>
          <w:sz w:val="22"/>
        </w:rPr>
        <w:t xml:space="preserve">Read-Through Strength: </w:t>
      </w:r>
      <w:r>
        <w:rPr>
          <w:rFonts w:ascii="Calibri" w:hAnsi="Calibri"/>
          <w:color w:val="525866"/>
          <w:sz w:val="22"/>
        </w:rPr>
        <w:t>Direct on AI strategy and TAM expansion; partial on pricing.</w:t>
      </w:r>
    </w:p>
    <w:p>
      <w:pPr>
        <w:pStyle w:val="ListBullet"/>
        <w:ind w:left="360" w:hanging="360"/>
      </w:pPr>
      <w:r>
        <w:rPr>
          <w:rFonts w:ascii="Calibri" w:hAnsi="Calibri"/>
          <w:b/>
          <w:color w:val="525866"/>
          <w:sz w:val="22"/>
        </w:rPr>
        <w:t xml:space="preserve">Data/context layer as AI competitive moat: </w:t>
      </w:r>
      <w:r>
        <w:rPr>
          <w:rFonts w:ascii="Calibri" w:hAnsi="Calibri"/>
          <w:color w:val="525866"/>
          <w:sz w:val="22"/>
        </w:rPr>
        <w:t>“The timing is right because this is the time when you want to expand the breadth and depth of your data and context layer across entire life cycles. The broader and deeper your context and data layer, the more competitive you are in the future Agentic world because the more workflows you can automate, the more value you can bring to your customers.” Directly validates NOW’s Context Engine and ‘knowledge gravity’ strategy.</w:t>
      </w:r>
    </w:p>
    <w:p>
      <w:pPr>
        <w:pStyle w:val="ListBullet"/>
        <w:ind w:left="360" w:hanging="360"/>
      </w:pPr>
      <w:r>
        <w:rPr>
          <w:rFonts w:ascii="Calibri" w:hAnsi="Calibri"/>
          <w:b/>
          <w:color w:val="525866"/>
          <w:sz w:val="22"/>
        </w:rPr>
        <w:t xml:space="preserve">Autonomous operations as next frontier: </w:t>
      </w:r>
      <w:r>
        <w:rPr>
          <w:rFonts w:ascii="Calibri" w:hAnsi="Calibri"/>
          <w:color w:val="525866"/>
          <w:sz w:val="22"/>
        </w:rPr>
        <w:t>MaintainX acquisition aimed at “high-value predictive and autonomous workflows and systems.” Validates NOW’s autonomous workforce strategy and the market’s direction toward agentic AI.</w:t>
      </w:r>
    </w:p>
    <w:p>
      <w:pPr>
        <w:pStyle w:val="ListBullet"/>
        <w:ind w:left="360" w:hanging="360"/>
      </w:pPr>
      <w:r>
        <w:rPr>
          <w:rFonts w:ascii="Calibri" w:hAnsi="Calibri"/>
          <w:b/>
          <w:color w:val="525866"/>
          <w:sz w:val="22"/>
        </w:rPr>
        <w:t xml:space="preserve">TAM expansion through operations: </w:t>
      </w:r>
      <w:r>
        <w:rPr>
          <w:rFonts w:ascii="Calibri" w:hAnsi="Calibri"/>
          <w:color w:val="525866"/>
          <w:sz w:val="22"/>
        </w:rPr>
        <w:t>Operations TAM described as “roughly a $40 billion TAM” with “large white space opportunity” where manual processes still dominate. Validates NOW’s own TAM expansion narrative from IT into operations, HR, and security.</w:t>
      </w:r>
    </w:p>
    <w:p>
      <w:r>
        <w:rPr>
          <w:rFonts w:ascii="Calibri" w:hAnsi="Calibri"/>
          <w:b/>
          <w:color w:val="525866"/>
          <w:sz w:val="22"/>
        </w:rPr>
        <w:t xml:space="preserve">Source: </w:t>
      </w:r>
      <w:r>
        <w:rPr>
          <w:rFonts w:ascii="Calibri" w:hAnsi="Calibri"/>
          <w:color w:val="525866"/>
          <w:sz w:val="22"/>
        </w:rPr>
        <w:t>Snowflake Q1 FY2027 Earnings Call transcript (May 27, 2026); Salesforce Q1 FY2027 Earnings Call transcript (May 27, 2026); Salesforce Bank of America Global Technology Conference transcript (June 2, 2026); Datadog Bank of America Global Technology Conference transcript (June 3, 2026); Autodesk Q1 FY2027 Earnings Call transcript (May 28, 2026); Autodesk Bank of America Global Technology Conference transcript (June 3, 2026).</w:t>
      </w:r>
    </w:p>
    <w:p>
      <w:r>
        <w:br w:type="page"/>
      </w:r>
    </w:p>
    <w:p>
      <w:pPr>
        <w:pStyle w:val="Heading1"/>
        <w:pBdr>
          <w:bottom w:val="single" w:sz="4" w:space="1" w:color="FB9120"/>
        </w:pBdr>
      </w:pPr>
      <w:r>
        <w:rPr>
          <w:rFonts w:ascii="Calibri" w:hAnsi="Calibri"/>
          <w:b/>
          <w:color w:val="3B4259"/>
          <w:sz w:val="40"/>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May 4 Financial Analyst Day, which introduced a $30B+ 2030 subscription revenue target and raised the Now Assist ACV target to $1.5B — providing a long-range framework that, if credible, implies significant multiple re-rating potential from current depressed levels. The $4B notes offering and Salesforce’s ITSM competitive win are the two most important risk factors to monitor.</w:t>
      </w:r>
    </w:p>
    <w:p>
      <w:pPr>
        <w:pStyle w:val="ListBullet"/>
        <w:ind w:left="360" w:hanging="360"/>
      </w:pPr>
      <w:r>
        <w:rPr>
          <w:rFonts w:ascii="Calibri" w:hAnsi="Calibri"/>
          <w:b/>
          <w:color w:val="525866"/>
          <w:sz w:val="22"/>
        </w:rPr>
        <w:t xml:space="preserve">May 4, 2026 — Financial Analyst Day (Las Vegas): </w:t>
      </w:r>
      <w:r>
        <w:rPr>
          <w:rFonts w:ascii="Calibri" w:hAnsi="Calibri"/>
          <w:color w:val="525866"/>
          <w:sz w:val="22"/>
        </w:rPr>
        <w:t>ServiceNow introduced its long-range plan: $30B+ subscription revenue by 2030 (base case), $32B higher scenario (20% CAGR); Rule of 60+ by 2030; SBC sub-10% by 2029; 100 bps non-GAAP operating margin expansion in FY2027 (inclusive of Armis); Now Assist ACV target raised from $1B to $1.5B for 2026; company confirmed it is “on track to beat” the original $15B 2026 target by $0.5B organically. Implication: Provides a credible multi-year framework that could anchor a re-rating if Q2 execution confirms the AI monetization trajectory.</w:t>
      </w:r>
    </w:p>
    <w:p>
      <w:pPr>
        <w:pStyle w:val="ListBullet"/>
        <w:ind w:left="360" w:hanging="360"/>
      </w:pPr>
      <w:r>
        <w:rPr>
          <w:rFonts w:ascii="Calibri" w:hAnsi="Calibri"/>
          <w:b/>
          <w:color w:val="525866"/>
          <w:sz w:val="22"/>
        </w:rPr>
        <w:t xml:space="preserve">May 15, 2026 — $4 Billion Notes Offering Completed (8-K): </w:t>
      </w:r>
      <w:r>
        <w:rPr>
          <w:rFonts w:ascii="Calibri" w:hAnsi="Calibri"/>
          <w:color w:val="525866"/>
          <w:sz w:val="22"/>
        </w:rPr>
        <w:t>ServiceNow completed a $4B senior notes offering. Implication: Raises leverage and signals continued M&amp;A optionality or capital return capacity; investors will watch for deployment clarity. Adds to near-term FCF headwind from interest expense.</w:t>
      </w:r>
    </w:p>
    <w:p>
      <w:pPr>
        <w:pStyle w:val="ListBullet"/>
        <w:ind w:left="360" w:hanging="360"/>
      </w:pPr>
      <w:r>
        <w:rPr>
          <w:rFonts w:ascii="Calibri" w:hAnsi="Calibri"/>
          <w:b/>
          <w:color w:val="525866"/>
          <w:sz w:val="22"/>
        </w:rPr>
        <w:t xml:space="preserve">May 27, 2026 — Salesforce Agentforce ITSM Competitive Win (McAfee): </w:t>
      </w:r>
      <w:r>
        <w:rPr>
          <w:rFonts w:ascii="Calibri" w:hAnsi="Calibri"/>
          <w:color w:val="525866"/>
          <w:sz w:val="22"/>
        </w:rPr>
        <w:t>Salesforce CEO Marc Benioff explicitly named McAfee as a customer that selected “Agentforce IT service to replace ServiceNow.” Implication: First high-profile public disclosure of a competitive ITSM displacement; investors will scrutinize whether this is isolated or signals a broader competitive threat in NOW’s core market.</w:t>
      </w:r>
    </w:p>
    <w:p>
      <w:pPr>
        <w:pStyle w:val="ListBullet"/>
        <w:ind w:left="360" w:hanging="360"/>
      </w:pPr>
      <w:r>
        <w:rPr>
          <w:rFonts w:ascii="Calibri" w:hAnsi="Calibri"/>
          <w:b/>
          <w:color w:val="525866"/>
          <w:sz w:val="22"/>
        </w:rPr>
        <w:t xml:space="preserve">May 27–28, 2026 — Snowflake and Salesforce Q1 FY2027 Earnings (AI Read-Through): </w:t>
      </w:r>
      <w:r>
        <w:rPr>
          <w:rFonts w:ascii="Calibri" w:hAnsi="Calibri"/>
          <w:color w:val="525866"/>
          <w:sz w:val="22"/>
        </w:rPr>
        <w:t>Both peers reported strong AI monetization results and raised full-year guidance, triggering a sharp rally in enterprise software stocks including NOW (stock rose from ~$102 to ~$136 peak by June 1). Implication: Validated the AI enterprise software demand environment and contributed to NOW’s partial recovery from the post-Q1 selloff.</w:t>
      </w:r>
    </w:p>
    <w:p>
      <w:pPr>
        <w:pStyle w:val="ListBullet"/>
        <w:ind w:left="360" w:hanging="360"/>
      </w:pPr>
      <w:r>
        <w:rPr>
          <w:rFonts w:ascii="Calibri" w:hAnsi="Calibri"/>
          <w:b/>
          <w:color w:val="525866"/>
          <w:sz w:val="22"/>
        </w:rPr>
        <w:t xml:space="preserve">July 15, 2026 — Tenon Expands Marketing Automation into ServiceNow AI Platform: </w:t>
      </w:r>
      <w:r>
        <w:rPr>
          <w:rFonts w:ascii="Calibri" w:hAnsi="Calibri"/>
          <w:color w:val="525866"/>
          <w:sz w:val="22"/>
        </w:rPr>
        <w:t>Tenon announced expansion of its marketing automation capabilities into the ServiceNow AI Platform, unifying customer engagement across the enterprise. Implication: Validates the platform’s extensibility and ecosystem momentum; incremental positive for CRM/customer engagement TAM expansion.</w:t>
      </w:r>
    </w:p>
    <w:p>
      <w:pPr>
        <w:pStyle w:val="ListBullet"/>
        <w:ind w:left="360" w:hanging="360"/>
      </w:pPr>
      <w:r>
        <w:rPr>
          <w:rFonts w:ascii="Calibri" w:hAnsi="Calibri"/>
          <w:b/>
          <w:color w:val="525866"/>
          <w:sz w:val="22"/>
        </w:rPr>
        <w:t xml:space="preserve">July 1, 2026 — Q2 2026 Earnings Date Announced: </w:t>
      </w:r>
      <w:r>
        <w:rPr>
          <w:rFonts w:ascii="Calibri" w:hAnsi="Calibri"/>
          <w:color w:val="525866"/>
          <w:sz w:val="22"/>
        </w:rPr>
        <w:t>ServiceNow confirmed Q2 2026 results will be released July 22, 2026 after market close. Earnings call at 5:00 PM ET.</w:t>
      </w:r>
    </w:p>
    <w:p>
      <w:pPr>
        <w:pStyle w:val="ListBullet"/>
        <w:ind w:left="360" w:hanging="360"/>
      </w:pPr>
      <w:r>
        <w:rPr>
          <w:rFonts w:ascii="Calibri" w:hAnsi="Calibri"/>
          <w:b/>
          <w:color w:val="525866"/>
          <w:sz w:val="22"/>
        </w:rPr>
        <w:t xml:space="preserve">April 22–May 2026 — Armis Integration Progress: </w:t>
      </w:r>
      <w:r>
        <w:rPr>
          <w:rFonts w:ascii="Calibri" w:hAnsi="Calibri"/>
          <w:color w:val="525866"/>
          <w:sz w:val="22"/>
        </w:rPr>
        <w:t>Armis acquisition closed ahead of schedule (announced on Q1 call); integration underway as the asset visibility layer of the AI Control Tower alongside Veza’s identity governance. Security and risk pipeline has grown meaningfully since both acquisitions closed. Implication: Armis contributes 125 bps to Q2 subscription revenue and cRPO growth; integration execution is a key watch item for margin trajectory.</w:t>
      </w:r>
    </w:p>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All insider activity since Q1 earnings consists of open-market sales and 10b5-1 planned sales — no open-market purchases. The most notable transaction is Director Anita Sands’ discretionary sale of 16,445 shares (~$1.5M) on May 14, which was not under a 10b5-1 plan. No clustered buying or unusual signals; the absence of open-market purchases at depressed price levels is a mild negative signal but not alarming given the prevalence of 10b5-1 plans.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Est. Value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Canney Jacqueline P</w:t>
            </w:r>
          </w:p>
        </w:tc>
        <w:tc>
          <w:tcPr>
            <w:tcW w:type="dxa" w:w="1234"/>
          </w:tcPr>
          <w:p>
            <w:r>
              <w:rPr>
                <w:rFonts w:ascii="Calibri" w:hAnsi="Calibri"/>
                <w:sz w:val="22"/>
              </w:rPr>
              <w:t>Chief People &amp; AI Enablement Officer</w:t>
            </w:r>
          </w:p>
        </w:tc>
        <w:tc>
          <w:tcPr>
            <w:tcW w:type="dxa" w:w="1234"/>
          </w:tcPr>
          <w:p>
            <w:r>
              <w:rPr>
                <w:rFonts w:ascii="Calibri" w:hAnsi="Calibri"/>
                <w:sz w:val="22"/>
              </w:rPr>
              <w:t>Open Market Sale</w:t>
            </w:r>
          </w:p>
        </w:tc>
        <w:tc>
          <w:tcPr>
            <w:tcW w:type="dxa" w:w="1234"/>
          </w:tcPr>
          <w:p>
            <w:r>
              <w:rPr>
                <w:rFonts w:ascii="Calibri" w:hAnsi="Calibri"/>
                <w:sz w:val="22"/>
              </w:rPr>
              <w:t>8,927</w:t>
            </w:r>
          </w:p>
        </w:tc>
        <w:tc>
          <w:tcPr>
            <w:tcW w:type="dxa" w:w="1234"/>
          </w:tcPr>
          <w:p>
            <w:r>
              <w:rPr>
                <w:rFonts w:ascii="Calibri" w:hAnsi="Calibri"/>
                <w:sz w:val="22"/>
              </w:rPr>
              <w:t>~$0.8M (est. ~$90/sh)</w:t>
            </w:r>
          </w:p>
        </w:tc>
        <w:tc>
          <w:tcPr>
            <w:tcW w:type="dxa" w:w="1234"/>
          </w:tcPr>
          <w:p>
            <w:r>
              <w:rPr>
                <w:rFonts w:ascii="Calibri" w:hAnsi="Calibri"/>
                <w:sz w:val="22"/>
              </w:rPr>
              <w:t>Apr 24, 2026</w:t>
            </w:r>
          </w:p>
        </w:tc>
        <w:tc>
          <w:tcPr>
            <w:tcW w:type="dxa" w:w="1234"/>
          </w:tcPr>
          <w:p>
            <w:r>
              <w:rPr>
                <w:rFonts w:ascii="Calibri" w:hAnsi="Calibri"/>
                <w:sz w:val="22"/>
              </w:rPr>
              <w:t>Discretionary sale; not under 10b5-1 plan; sold 2 days after Q1 earnings selloff</w:t>
            </w:r>
          </w:p>
        </w:tc>
      </w:tr>
      <w:tr>
        <w:tc>
          <w:tcPr>
            <w:tcW w:type="dxa" w:w="1234"/>
          </w:tcPr>
          <w:p>
            <w:r>
              <w:rPr>
                <w:rFonts w:ascii="Calibri" w:hAnsi="Calibri"/>
                <w:sz w:val="22"/>
              </w:rPr>
              <w:t>Fipps Paul</w:t>
            </w:r>
          </w:p>
        </w:tc>
        <w:tc>
          <w:tcPr>
            <w:tcW w:type="dxa" w:w="1234"/>
          </w:tcPr>
          <w:p>
            <w:r>
              <w:rPr>
                <w:rFonts w:ascii="Calibri" w:hAnsi="Calibri"/>
                <w:sz w:val="22"/>
              </w:rPr>
              <w:t>President, Global Customer Operations</w:t>
            </w:r>
          </w:p>
        </w:tc>
        <w:tc>
          <w:tcPr>
            <w:tcW w:type="dxa" w:w="1234"/>
          </w:tcPr>
          <w:p>
            <w:r>
              <w:rPr>
                <w:rFonts w:ascii="Calibri" w:hAnsi="Calibri"/>
                <w:sz w:val="22"/>
              </w:rPr>
              <w:t>10b5-1 Planned Sale</w:t>
            </w:r>
          </w:p>
        </w:tc>
        <w:tc>
          <w:tcPr>
            <w:tcW w:type="dxa" w:w="1234"/>
          </w:tcPr>
          <w:p>
            <w:r>
              <w:rPr>
                <w:rFonts w:ascii="Calibri" w:hAnsi="Calibri"/>
                <w:sz w:val="22"/>
              </w:rPr>
              <w:t>151</w:t>
            </w:r>
          </w:p>
        </w:tc>
        <w:tc>
          <w:tcPr>
            <w:tcW w:type="dxa" w:w="1234"/>
          </w:tcPr>
          <w:p>
            <w:r>
              <w:rPr>
                <w:rFonts w:ascii="Calibri" w:hAnsi="Calibri"/>
                <w:sz w:val="22"/>
              </w:rPr>
              <w:t>~$14K (est. ~$91/sh)</w:t>
            </w:r>
          </w:p>
        </w:tc>
        <w:tc>
          <w:tcPr>
            <w:tcW w:type="dxa" w:w="1234"/>
          </w:tcPr>
          <w:p>
            <w:r>
              <w:rPr>
                <w:rFonts w:ascii="Calibri" w:hAnsi="Calibri"/>
                <w:sz w:val="22"/>
              </w:rPr>
              <w:t>May 8, 2026</w:t>
            </w:r>
          </w:p>
        </w:tc>
        <w:tc>
          <w:tcPr>
            <w:tcW w:type="dxa" w:w="1234"/>
          </w:tcPr>
          <w:p>
            <w:r>
              <w:rPr>
                <w:rFonts w:ascii="Calibri" w:hAnsi="Calibri"/>
                <w:sz w:val="22"/>
              </w:rPr>
              <w:t>Pre-planned 10b5-1 sale; routine/obligation-driven; small size</w:t>
            </w:r>
          </w:p>
        </w:tc>
      </w:tr>
      <w:tr>
        <w:tc>
          <w:tcPr>
            <w:tcW w:type="dxa" w:w="1234"/>
          </w:tcPr>
          <w:p>
            <w:r>
              <w:rPr>
                <w:rFonts w:ascii="Calibri" w:hAnsi="Calibri"/>
                <w:sz w:val="22"/>
              </w:rPr>
              <w:t>Chamberlain Paul Edward</w:t>
            </w:r>
          </w:p>
        </w:tc>
        <w:tc>
          <w:tcPr>
            <w:tcW w:type="dxa" w:w="1234"/>
          </w:tcPr>
          <w:p>
            <w:r>
              <w:rPr>
                <w:rFonts w:ascii="Calibri" w:hAnsi="Calibri"/>
                <w:sz w:val="22"/>
              </w:rPr>
              <w:t>Director</w:t>
            </w:r>
          </w:p>
        </w:tc>
        <w:tc>
          <w:tcPr>
            <w:tcW w:type="dxa" w:w="1234"/>
          </w:tcPr>
          <w:p>
            <w:r>
              <w:rPr>
                <w:rFonts w:ascii="Calibri" w:hAnsi="Calibri"/>
                <w:sz w:val="22"/>
              </w:rPr>
              <w:t>10b5-1 Planned Sale</w:t>
            </w:r>
          </w:p>
        </w:tc>
        <w:tc>
          <w:tcPr>
            <w:tcW w:type="dxa" w:w="1234"/>
          </w:tcPr>
          <w:p>
            <w:r>
              <w:rPr>
                <w:rFonts w:ascii="Calibri" w:hAnsi="Calibri"/>
                <w:sz w:val="22"/>
              </w:rPr>
              <w:t>1,500</w:t>
            </w:r>
          </w:p>
        </w:tc>
        <w:tc>
          <w:tcPr>
            <w:tcW w:type="dxa" w:w="1234"/>
          </w:tcPr>
          <w:p>
            <w:r>
              <w:rPr>
                <w:rFonts w:ascii="Calibri" w:hAnsi="Calibri"/>
                <w:sz w:val="22"/>
              </w:rPr>
              <w:t>~$136K (est. ~$90/sh)</w:t>
            </w:r>
          </w:p>
        </w:tc>
        <w:tc>
          <w:tcPr>
            <w:tcW w:type="dxa" w:w="1234"/>
          </w:tcPr>
          <w:p>
            <w:r>
              <w:rPr>
                <w:rFonts w:ascii="Calibri" w:hAnsi="Calibri"/>
                <w:sz w:val="22"/>
              </w:rPr>
              <w:t>May 14, 2026</w:t>
            </w:r>
          </w:p>
        </w:tc>
        <w:tc>
          <w:tcPr>
            <w:tcW w:type="dxa" w:w="1234"/>
          </w:tcPr>
          <w:p>
            <w:r>
              <w:rPr>
                <w:rFonts w:ascii="Calibri" w:hAnsi="Calibri"/>
                <w:sz w:val="22"/>
              </w:rPr>
              <w:t>Pre-planned 10b5-1 sale; routine</w:t>
            </w:r>
          </w:p>
        </w:tc>
      </w:tr>
      <w:tr>
        <w:tc>
          <w:tcPr>
            <w:tcW w:type="dxa" w:w="1234"/>
          </w:tcPr>
          <w:p>
            <w:r>
              <w:rPr>
                <w:rFonts w:ascii="Calibri" w:hAnsi="Calibri"/>
                <w:sz w:val="22"/>
              </w:rPr>
              <w:t>Sands Anita M</w:t>
            </w:r>
          </w:p>
        </w:tc>
        <w:tc>
          <w:tcPr>
            <w:tcW w:type="dxa" w:w="1234"/>
          </w:tcPr>
          <w:p>
            <w:r>
              <w:rPr>
                <w:rFonts w:ascii="Calibri" w:hAnsi="Calibri"/>
                <w:sz w:val="22"/>
              </w:rPr>
              <w:t>Director</w:t>
            </w:r>
          </w:p>
        </w:tc>
        <w:tc>
          <w:tcPr>
            <w:tcW w:type="dxa" w:w="1234"/>
          </w:tcPr>
          <w:p>
            <w:r>
              <w:rPr>
                <w:rFonts w:ascii="Calibri" w:hAnsi="Calibri"/>
                <w:sz w:val="22"/>
              </w:rPr>
              <w:t>Open Market Sale</w:t>
            </w:r>
          </w:p>
        </w:tc>
        <w:tc>
          <w:tcPr>
            <w:tcW w:type="dxa" w:w="1234"/>
          </w:tcPr>
          <w:p>
            <w:r>
              <w:rPr>
                <w:rFonts w:ascii="Calibri" w:hAnsi="Calibri"/>
                <w:sz w:val="22"/>
              </w:rPr>
              <w:t>16,445</w:t>
            </w:r>
          </w:p>
        </w:tc>
        <w:tc>
          <w:tcPr>
            <w:tcW w:type="dxa" w:w="1234"/>
          </w:tcPr>
          <w:p>
            <w:r>
              <w:rPr>
                <w:rFonts w:ascii="Calibri" w:hAnsi="Calibri"/>
                <w:sz w:val="22"/>
              </w:rPr>
              <w:t>~$1.5M (est. ~$90/sh)</w:t>
            </w:r>
          </w:p>
        </w:tc>
        <w:tc>
          <w:tcPr>
            <w:tcW w:type="dxa" w:w="1234"/>
          </w:tcPr>
          <w:p>
            <w:r>
              <w:rPr>
                <w:rFonts w:ascii="Calibri" w:hAnsi="Calibri"/>
                <w:sz w:val="22"/>
              </w:rPr>
              <w:t>May 14, 2026</w:t>
            </w:r>
          </w:p>
        </w:tc>
        <w:tc>
          <w:tcPr>
            <w:tcW w:type="dxa" w:w="1234"/>
          </w:tcPr>
          <w:p>
            <w:r>
              <w:rPr>
                <w:rFonts w:ascii="Calibri" w:hAnsi="Calibri"/>
                <w:sz w:val="22"/>
              </w:rPr>
              <w:t>Discretionary sale; NOT under 10b5-1 plan; largest transaction in the window by share count</w:t>
            </w:r>
          </w:p>
        </w:tc>
      </w:tr>
      <w:tr>
        <w:tc>
          <w:tcPr>
            <w:tcW w:type="dxa" w:w="1234"/>
          </w:tcPr>
          <w:p>
            <w:r>
              <w:rPr>
                <w:rFonts w:ascii="Calibri" w:hAnsi="Calibri"/>
                <w:sz w:val="22"/>
              </w:rPr>
              <w:t>Briggs Teresa</w:t>
            </w:r>
          </w:p>
        </w:tc>
        <w:tc>
          <w:tcPr>
            <w:tcW w:type="dxa" w:w="1234"/>
          </w:tcPr>
          <w:p>
            <w:r>
              <w:rPr>
                <w:rFonts w:ascii="Calibri" w:hAnsi="Calibri"/>
                <w:sz w:val="22"/>
              </w:rPr>
              <w:t>Director</w:t>
            </w:r>
          </w:p>
        </w:tc>
        <w:tc>
          <w:tcPr>
            <w:tcW w:type="dxa" w:w="1234"/>
          </w:tcPr>
          <w:p>
            <w:r>
              <w:rPr>
                <w:rFonts w:ascii="Calibri" w:hAnsi="Calibri"/>
                <w:sz w:val="22"/>
              </w:rPr>
              <w:t>Open Market Sale</w:t>
            </w:r>
          </w:p>
        </w:tc>
        <w:tc>
          <w:tcPr>
            <w:tcW w:type="dxa" w:w="1234"/>
          </w:tcPr>
          <w:p>
            <w:r>
              <w:rPr>
                <w:rFonts w:ascii="Calibri" w:hAnsi="Calibri"/>
                <w:sz w:val="22"/>
              </w:rPr>
              <w:t>1,595</w:t>
            </w:r>
          </w:p>
        </w:tc>
        <w:tc>
          <w:tcPr>
            <w:tcW w:type="dxa" w:w="1234"/>
          </w:tcPr>
          <w:p>
            <w:r>
              <w:rPr>
                <w:rFonts w:ascii="Calibri" w:hAnsi="Calibri"/>
                <w:sz w:val="22"/>
              </w:rPr>
              <w:t>~$0.2M (est. ~$125/sh)</w:t>
            </w:r>
          </w:p>
        </w:tc>
        <w:tc>
          <w:tcPr>
            <w:tcW w:type="dxa" w:w="1234"/>
          </w:tcPr>
          <w:p>
            <w:r>
              <w:rPr>
                <w:rFonts w:ascii="Calibri" w:hAnsi="Calibri"/>
                <w:sz w:val="22"/>
              </w:rPr>
              <w:t>May 28, 2026</w:t>
            </w:r>
          </w:p>
        </w:tc>
        <w:tc>
          <w:tcPr>
            <w:tcW w:type="dxa" w:w="1234"/>
          </w:tcPr>
          <w:p>
            <w:r>
              <w:rPr>
                <w:rFonts w:ascii="Calibri" w:hAnsi="Calibri"/>
                <w:sz w:val="22"/>
              </w:rPr>
              <w:t>Discretionary sale; not under 10b5-1 plan; sold into the post-FAD/peer-earnings rally</w:t>
            </w:r>
          </w:p>
        </w:tc>
      </w:tr>
    </w:tbl>
    <w:p>
      <w:r>
        <w:rPr>
          <w:rFonts w:ascii="Calibri" w:hAnsi="Calibri"/>
          <w:color w:val="525866"/>
          <w:sz w:val="22"/>
        </w:rPr>
        <w:t>No open-market purchases were filed in the window (April 22 – July 21, 2026). The Canney and Sands discretionary sales are the most notable — both sold at depressed post-earnings prices (~$90/share), which is not a bullish signal, though the amounts are modest relative to their remaining holdings (29,531 and 30,090 shares respectively). The Briggs sale on May 28 occurred into the post-FAD rally at a higher price (~$125/sh estimated), consistent with opportunistic profit-taking. Overall, the insider picture is neutral-to-mildly negative: no buying conviction at the lows, but no alarming cluster of large discretionary sales either.</w:t>
      </w:r>
    </w:p>
    <w:p>
      <w:r>
        <w:rPr>
          <w:rFonts w:ascii="Calibri" w:hAnsi="Calibri"/>
          <w:b/>
          <w:color w:val="525866"/>
          <w:sz w:val="22"/>
        </w:rPr>
        <w:t xml:space="preserve">Source: </w:t>
      </w:r>
      <w:r>
        <w:rPr>
          <w:rFonts w:ascii="Calibri" w:hAnsi="Calibri"/>
          <w:color w:val="525866"/>
          <w:sz w:val="22"/>
        </w:rPr>
        <w:t>SEC Form 4 Filings Database (Insider Transaction Data). Transaction values estimated using approximate share prices at transaction dates from Yahoo Finance stock price data. Form 4 filing dates: Canney (Apr 28, 2026), Fipps (May 12, 2026), Chamberlain (May 18, 2026), Sands (May 18, 2026), Briggs (Jun 1, 2026).</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