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sc-earnings-predictions--2026-07-23"/>
    <w:p>
      <w:pPr>
        <w:pStyle w:val="Heading1"/>
      </w:pPr>
      <w:r>
        <w:t xml:space="preserve">NSC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3.18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Ratio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~66.9% vs. cons ~66.6%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STB approval / deal close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~mid-2027 vs. cons ~mid-2027 (close timing); reaffirm post-7/27 supplemental filing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operating-cost envelope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8.2</m:t>
              </m:r>
              <m:r>
                <m:rPr>
                  <m:sty m:val="p"/>
                </m:rPr>
                <m:t>−</m:t>
              </m:r>
              <m:r>
                <m:t>8.4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Merger-related intermodal revenue leakage / synergies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2.75</m:t>
              </m:r>
              <m:r>
                <m:t>B</m:t>
              </m:r>
              <m:r>
                <m:t>s</m:t>
              </m:r>
              <m:r>
                <m:t>y</m:t>
              </m:r>
              <m:r>
                <m:t>n</m:t>
              </m:r>
              <m:r>
                <m:t>e</m:t>
              </m:r>
              <m:r>
                <m:t>r</m:t>
              </m:r>
              <m:r>
                <m:t>g</m:t>
              </m:r>
              <m:r>
                <m:t>i</m:t>
              </m:r>
              <m:r>
                <m:t>e</m:t>
              </m:r>
              <m:r>
                <m:t>s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2.75B (post-close run-rate); leakage trajectory the swing item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NSC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NSC is a merger-arb stock: equity value is locked to 1.0 UNP share + $88.82 cash and STB approval odds, not quarterly EPS. Price action confirms NSC tracks UNP almost 1:1, so the print itself has minimal idiosyncratic pull. Expect softer YoY profitability off a land-sale-aided Q2'25 comp but in-line vs consensus and solid sequential OR progress — not enough to reprice the ~15% deal spread. The only true catalyst is the 7/27 STB supplemental filing and any timeline/conditions color; absent a surprise there, residual return stays near zero and stabilizes as the spread re-anchors to UNP and regulatory probability.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2026-07-23T00:46:01Z</dcterms:created>
  <dcterms:modified xsi:type="dcterms:W3CDTF">2026-07-23T00:46:01Z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