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NSC (Norfolk Southern) before writing the preview. Let me pull recent filings, transcripts, news, and price data.This is a major situation — the UP-NSC merger dominates. Let me get the Q1 earnings release numbers, recent merger news, and stock price data.Let me read the merger news, the June 8-K, and get the Q1 earnings release numbers, plus search for the latest merger developments.Let me verify the merger terms and get the latest regulatory status via web search.Let me get the latest STB regulatory status (most recent news).Let me get last year's Q2 (2025Q2) baseline for the YoY comparison.I have what I need. Here's the earnings preview.</w:t>
      </w:r>
    </w:p>
    <w:p>
      <w:r>
        <w:pict>
          <v:rect style="width:0;height:1.5pt" o:hralign="center" o:hrstd="t" o:hr="t"/>
        </w:pict>
      </w:r>
    </w:p>
    <w:bookmarkStart w:id="17" w:name="X37055713542870cb4f8704021948f514e62ccc0"/>
    <w:p>
      <w:pPr>
        <w:pStyle w:val="Heading1"/>
      </w:pPr>
      <w:r>
        <w:t xml:space="preserve">Norfolk Southern (NSC) — 2026 Q2 Earnings Preview</w:t>
      </w:r>
    </w:p>
    <w:bookmarkStart w:id="9" w:name="X82414637413ae28d361e78e36327999c2b1a3e6"/>
    <w:p>
      <w:pPr>
        <w:pStyle w:val="Heading3"/>
      </w:pPr>
      <w:r>
        <w:t xml:space="preserve">Report date: Thursday, July 23, 2026 (pre-market) | 2026Q2 Earnings Call</w:t>
      </w:r>
    </w:p>
    <w:bookmarkEnd w:id="9"/>
    <w:bookmarkStart w:id="10" w:name="X48966ada23bb946338d4e2be6422d16cf835112"/>
    <w:p>
      <w:pPr>
        <w:pStyle w:val="Heading2"/>
      </w:pPr>
      <w:r>
        <w:t xml:space="preserve">The one thing that matters: this is a merger-arb stock, not a fundamentals story</w:t>
      </w:r>
    </w:p>
    <w:p>
      <w:pPr>
        <w:pStyle w:val="FirstParagraph"/>
      </w:pPr>
      <w:r>
        <w:t xml:space="preserve">NSC no longer trades on its own operating results. On July 28, 2025, Norfolk Southern agreed to be acquired by</w:t>
      </w:r>
      <w:r>
        <w:t xml:space="preserve"> </w:t>
      </w:r>
      <w:r>
        <w:rPr>
          <w:b/>
          <w:bCs/>
        </w:rPr>
        <w:t xml:space="preserve">Union Pacific (UNP)</w:t>
      </w:r>
      <w:r>
        <w:t xml:space="preserve"> </w:t>
      </w:r>
      <w:r>
        <w:t xml:space="preserve">in a cash-and-stock deal that would create the first single-line U.S. transcontinental railroad. Under the terms, NSC holders receive **1.0 UNP share +</w:t>
      </w:r>
      <w:r>
        <w:t xml:space="preserve"> </w:t>
      </w:r>
      <m:oMath>
        <m:r>
          <m:t>88.82</m:t>
        </m:r>
        <m:r>
          <m:t>c</m:t>
        </m:r>
        <m:r>
          <m:t>a</m:t>
        </m:r>
        <m:r>
          <m:t>s</m:t>
        </m:r>
        <m:r>
          <m:t>h</m:t>
        </m:r>
        <m:r>
          <m:rPr>
            <m:sty m:val="p"/>
          </m:rPr>
          <m:t>*</m:t>
        </m:r>
        <m:r>
          <m:rPr>
            <m:sty m:val="p"/>
          </m:rPr>
          <m:t>*</m:t>
        </m:r>
        <m:r>
          <m:t>p</m:t>
        </m:r>
        <m:r>
          <m:t>e</m:t>
        </m:r>
        <m:r>
          <m:t>r</m:t>
        </m:r>
        <m:r>
          <m:t>N</m:t>
        </m:r>
        <m:r>
          <m:t>S</m:t>
        </m:r>
        <m:r>
          <m:t>C</m:t>
        </m:r>
        <m:r>
          <m:t>s</m:t>
        </m:r>
        <m:r>
          <m:t>h</m:t>
        </m:r>
        <m:r>
          <m:t>a</m:t>
        </m:r>
        <m:r>
          <m:t>r</m:t>
        </m:r>
        <m:r>
          <m:t>e</m:t>
        </m:r>
        <m:r>
          <m:rPr>
            <m:sty m:val="p"/>
          </m:rPr>
          <m:t>—</m:t>
        </m:r>
        <m:r>
          <m:t>a</m:t>
        </m:r>
        <m:r>
          <m:t>n</m:t>
        </m:r>
        <m:r>
          <m:t>i</m:t>
        </m:r>
        <m:r>
          <m:t>m</m:t>
        </m:r>
        <m:r>
          <m:t>p</m:t>
        </m:r>
        <m:r>
          <m:t>l</m:t>
        </m:r>
        <m:r>
          <m:t>i</m:t>
        </m:r>
        <m:r>
          <m:t>e</m:t>
        </m:r>
        <m:r>
          <m:t>d</m:t>
        </m:r>
        <m:r>
          <m:t> </m:t>
        </m:r>
      </m:oMath>
      <w:r>
        <w:t xml:space="preserve">320/share ($85B enterprise value) at announcement, a 25% premium. NSC shareholders overwhelmingly approved (~99%) on November 14, 2025.</w:t>
      </w:r>
    </w:p>
    <w:p>
      <w:pPr>
        <w:pStyle w:val="BodyText"/>
      </w:pPr>
      <w:r>
        <w:t xml:space="preserve">Because the payout is fixed in UNP shares plus cash, NSC's stock now tracks</w:t>
      </w:r>
      <w:r>
        <w:t xml:space="preserve"> </w:t>
      </w:r>
      <w:r>
        <w:rPr>
          <w:b/>
          <w:bCs/>
        </w:rPr>
        <w:t xml:space="preserve">(a) UNP's share price and (b) the market's odds of regulatory approval</w:t>
      </w:r>
      <w:r>
        <w:t xml:space="preserve"> </w:t>
      </w:r>
      <w:r>
        <w:t xml:space="preserve">far more than its quarterly EPS.</w:t>
      </w:r>
    </w:p>
    <w:p>
      <w:pPr>
        <w:pStyle w:val="BodyText"/>
      </w:pPr>
      <w:r>
        <w:rPr>
          <w:b/>
          <w:bCs/>
        </w:rPr>
        <w:t xml:space="preserve">Where the arb stands going in (7/22/2026 closes):</w:t>
      </w:r>
      <w:r>
        <w:t xml:space="preserve"> </w:t>
      </w:r>
      <w:r>
        <w:t xml:space="preserve">| | Value |</w:t>
      </w:r>
      <w:r>
        <w:t xml:space="preserve"> </w:t>
      </w:r>
      <w:r>
        <w:t xml:space="preserve">|---|---|</w:t>
      </w:r>
      <w:r>
        <w:t xml:space="preserve"> </w:t>
      </w:r>
      <w:r>
        <w:t xml:space="preserve">| NSC | $330.98 |</w:t>
      </w:r>
      <w:r>
        <w:t xml:space="preserve"> </w:t>
      </w:r>
      <w:r>
        <w:t xml:space="preserve">| UNP | $292.60 |</w:t>
      </w:r>
      <w:r>
        <w:t xml:space="preserve"> </w:t>
      </w:r>
      <w:r>
        <w:t xml:space="preserve">| Implied deal value (1×UNP +</w:t>
      </w:r>
      <w:r>
        <w:t xml:space="preserve"> </w:t>
      </w:r>
      <m:oMath>
        <m:r>
          <m:t>88.82</m:t>
        </m:r>
        <m:r>
          <m:rPr>
            <m:sty m:val="p"/>
          </m:rPr>
          <m:t>)</m:t>
        </m:r>
        <m:r>
          <m:rPr>
            <m:sty m:val="p"/>
          </m:rPr>
          <m:t>|</m:t>
        </m:r>
        <m:r>
          <m:t> </m:t>
        </m:r>
      </m:oMath>
      <w:r>
        <w:t xml:space="preserve">381.42 |</w:t>
      </w:r>
      <w:r>
        <w:t xml:space="preserve"> </w:t>
      </w:r>
      <w:r>
        <w:t xml:space="preserve">| Gross spread to deal value |</w:t>
      </w:r>
      <w:r>
        <w:t xml:space="preserve"> </w:t>
      </w:r>
      <w:r>
        <w:rPr>
          <w:b/>
          <w:bCs/>
        </w:rPr>
        <w:t xml:space="preserve">~15%</w:t>
      </w:r>
      <w:r>
        <w:t xml:space="preserve"> </w:t>
      </w:r>
      <w:r>
        <w:t xml:space="preserve">|</w:t>
      </w:r>
    </w:p>
    <w:p>
      <w:pPr>
        <w:pStyle w:val="BodyText"/>
      </w:pPr>
      <w:r>
        <w:t xml:space="preserve">A ~15% gross spread with a targeted close now pushed to</w:t>
      </w:r>
      <w:r>
        <w:t xml:space="preserve"> </w:t>
      </w:r>
      <w:r>
        <w:rPr>
          <w:b/>
          <w:bCs/>
        </w:rPr>
        <w:t xml:space="preserve">mid-2027</w:t>
      </w:r>
      <w:r>
        <w:t xml:space="preserve"> </w:t>
      </w:r>
      <w:r>
        <w:t xml:space="preserve">signals the market is pricing in meaningful, unresolved regulatory (STB) risk — the single biggest swing factor for the stock. NSC has re-rated hard on the deal: shares are up from ~</w:t>
      </w:r>
      <m:oMath>
        <m:r>
          <m:t>262</m:t>
        </m:r>
        <m:r>
          <m:t>p</m:t>
        </m:r>
        <m:r>
          <m:t>r</m:t>
        </m:r>
        <m:r>
          <m:t>e</m:t>
        </m:r>
        <m:r>
          <m:rPr>
            <m:sty m:val="p"/>
          </m:rPr>
          <m:t>−</m:t>
        </m:r>
        <m:r>
          <m:t>a</m:t>
        </m:r>
        <m:r>
          <m:t>n</m:t>
        </m:r>
        <m:r>
          <m:t>n</m:t>
        </m:r>
        <m:r>
          <m:t>o</m:t>
        </m:r>
        <m:r>
          <m:t>u</m:t>
        </m:r>
        <m:r>
          <m:t>n</m:t>
        </m:r>
        <m:r>
          <m:t>c</m:t>
        </m:r>
        <m:r>
          <m:t>e</m:t>
        </m:r>
        <m:r>
          <m:t>m</m:t>
        </m:r>
        <m:r>
          <m:t>e</m:t>
        </m:r>
        <m:r>
          <m:t>n</m:t>
        </m:r>
        <m:r>
          <m:t>t</m:t>
        </m:r>
        <m:r>
          <m:rPr>
            <m:sty m:val="p"/>
          </m:rPr>
          <m:t>(</m:t>
        </m:r>
        <m:r>
          <m:t>J</m:t>
        </m:r>
        <m:r>
          <m:t>u</m:t>
        </m:r>
        <m:r>
          <m:t>l</m:t>
        </m:r>
        <m:r>
          <m:t>y</m:t>
        </m:r>
        <m:r>
          <m:t>2025</m:t>
        </m:r>
        <m:r>
          <m:rPr>
            <m:sty m:val="p"/>
          </m:rPr>
          <m:t>)</m:t>
        </m:r>
        <m:r>
          <m:t>t</m:t>
        </m:r>
        <m:r>
          <m:t>o</m:t>
        </m:r>
        <m:r>
          <m:t>t</m:t>
        </m:r>
        <m:r>
          <m:t>h</m:t>
        </m:r>
        <m:r>
          <m:t>e</m:t>
        </m:r>
        <m:r>
          <m:t>l</m:t>
        </m:r>
        <m:r>
          <m:t>o</m:t>
        </m:r>
        <m:r>
          <m:t>w</m:t>
        </m:r>
        <m:r>
          <m:rPr>
            <m:sty m:val="p"/>
          </m:rPr>
          <m:t>−</m:t>
        </m:r>
      </m:oMath>
      <w:r>
        <w:t xml:space="preserve">330s, having touched ~$340 in mid-July 2026 as the broader rails rallied.</w:t>
      </w:r>
    </w:p>
    <w:p>
      <w:pPr>
        <w:pStyle w:val="BodyText"/>
      </w:pPr>
      <w:r>
        <w:rPr>
          <w:b/>
          <w:bCs/>
        </w:rPr>
        <w:t xml:space="preserve">Practical implication for the print:</w:t>
      </w:r>
      <w:r>
        <w:t xml:space="preserve"> </w:t>
      </w:r>
      <w:r>
        <w:t xml:space="preserve">the earnings themselves are unlikely to move NSC much unless they're a genuine outlier. There will be no traditional earnings-quality debate; watch the merger commentary and any STB process detail far more closely than EPS.</w:t>
      </w:r>
    </w:p>
    <w:p>
      <w:r>
        <w:pict>
          <v:rect style="width:0;height:1.5pt" o:hralign="center" o:hrstd="t" o:hr="t"/>
        </w:pict>
      </w:r>
    </w:p>
    <w:bookmarkEnd w:id="10"/>
    <w:bookmarkStart w:id="11" w:name="the-merger-clock--the-real-catalyst-path"/>
    <w:p>
      <w:pPr>
        <w:pStyle w:val="Heading2"/>
      </w:pPr>
      <w:r>
        <w:t xml:space="preserve">The merger clock — the real catalyst path</w:t>
      </w:r>
    </w:p>
    <w:p>
      <w:pPr>
        <w:pStyle w:val="FirstParagraph"/>
      </w:pPr>
      <w:r>
        <w:t xml:space="preserve">Recent regulatory milestones investors should have front of mind:</w:t>
      </w:r>
    </w:p>
    <w:p>
      <w:pPr>
        <w:pStyle w:val="Compact"/>
        <w:numPr>
          <w:ilvl w:val="0"/>
          <w:numId w:val="1001"/>
        </w:numPr>
      </w:pPr>
      <w:r>
        <w:rPr>
          <w:b/>
          <w:bCs/>
        </w:rPr>
        <w:t xml:space="preserve">Dec 19, 2025:</w:t>
      </w:r>
      <w:r>
        <w:t xml:space="preserve"> </w:t>
      </w:r>
      <w:r>
        <w:t xml:space="preserve">Full merger application filed with the Surface Transportation Board (STB).</w:t>
      </w:r>
    </w:p>
    <w:p>
      <w:pPr>
        <w:pStyle w:val="Compact"/>
        <w:numPr>
          <w:ilvl w:val="0"/>
          <w:numId w:val="1001"/>
        </w:numPr>
      </w:pPr>
      <w:r>
        <w:rPr>
          <w:b/>
          <w:bCs/>
        </w:rPr>
        <w:t xml:space="preserve">May 28, 2026:</w:t>
      </w:r>
      <w:r>
        <w:t xml:space="preserve"> </w:t>
      </w:r>
      <w:r>
        <w:t xml:space="preserve">STB</w:t>
      </w:r>
      <w:r>
        <w:t xml:space="preserve"> </w:t>
      </w:r>
      <w:r>
        <w:rPr>
          <w:i/>
          <w:iCs/>
        </w:rPr>
        <w:t xml:space="preserve">accepted</w:t>
      </w:r>
      <w:r>
        <w:t xml:space="preserve"> </w:t>
      </w:r>
      <w:r>
        <w:t xml:space="preserve">the application for consideration — but simultaneously</w:t>
      </w:r>
      <w:r>
        <w:t xml:space="preserve"> </w:t>
      </w:r>
      <w:r>
        <w:rPr>
          <w:b/>
          <w:bCs/>
        </w:rPr>
        <w:t xml:space="preserve">held the proceeding (including the environmental review) in abeyance</w:t>
      </w:r>
      <w:r>
        <w:t xml:space="preserve"> </w:t>
      </w:r>
      <w:r>
        <w:t xml:space="preserve">and ordered the companies to submit supplemental information.</w:t>
      </w:r>
    </w:p>
    <w:p>
      <w:pPr>
        <w:pStyle w:val="Compact"/>
        <w:numPr>
          <w:ilvl w:val="0"/>
          <w:numId w:val="1001"/>
        </w:numPr>
      </w:pPr>
      <w:r>
        <w:rPr>
          <w:b/>
          <w:bCs/>
        </w:rPr>
        <w:t xml:space="preserve">July 7, 2026:</w:t>
      </w:r>
      <w:r>
        <w:t xml:space="preserve"> </w:t>
      </w:r>
      <w:r>
        <w:t xml:space="preserve">UP/NS submitted the first portion of their responses.</w:t>
      </w:r>
    </w:p>
    <w:p>
      <w:pPr>
        <w:pStyle w:val="Compact"/>
        <w:numPr>
          <w:ilvl w:val="0"/>
          <w:numId w:val="1001"/>
        </w:numPr>
      </w:pPr>
      <w:r>
        <w:rPr>
          <w:b/>
          <w:bCs/>
        </w:rPr>
        <w:t xml:space="preserve">July 27, 2026:</w:t>
      </w:r>
      <w:r>
        <w:t xml:space="preserve"> </w:t>
      </w:r>
      <w:r>
        <w:t xml:space="preserve">Deadline for the remaining supplemental information —</w:t>
      </w:r>
      <w:r>
        <w:t xml:space="preserve"> </w:t>
      </w:r>
      <w:r>
        <w:rPr>
          <w:b/>
          <w:bCs/>
        </w:rPr>
        <w:t xml:space="preserve">this falls just four days after the earnings call</w:t>
      </w:r>
      <w:r>
        <w:t xml:space="preserve">, so expect management to preview it.</w:t>
      </w:r>
    </w:p>
    <w:p>
      <w:pPr>
        <w:pStyle w:val="Compact"/>
        <w:numPr>
          <w:ilvl w:val="0"/>
          <w:numId w:val="1001"/>
        </w:numPr>
      </w:pPr>
      <w:r>
        <w:t xml:space="preserve">The STB has stated it has</w:t>
      </w:r>
      <w:r>
        <w:t xml:space="preserve"> </w:t>
      </w:r>
      <w:r>
        <w:rPr>
          <w:b/>
          <w:bCs/>
        </w:rPr>
        <w:t xml:space="preserve">12 months from acceptance</w:t>
      </w:r>
      <w:r>
        <w:t xml:space="preserve"> </w:t>
      </w:r>
      <w:r>
        <w:t xml:space="preserve">to complete evidentiary proceedings; the companies now target a</w:t>
      </w:r>
      <w:r>
        <w:t xml:space="preserve"> </w:t>
      </w:r>
      <w:r>
        <w:rPr>
          <w:b/>
          <w:bCs/>
        </w:rPr>
        <w:t xml:space="preserve">mid-2027 close</w:t>
      </w:r>
      <w:r>
        <w:t xml:space="preserve"> </w:t>
      </w:r>
      <w:r>
        <w:t xml:space="preserve">(slipped from the original "early 2027").</w:t>
      </w:r>
    </w:p>
    <w:p>
      <w:pPr>
        <w:pStyle w:val="FirstParagraph"/>
      </w:pPr>
      <w:r>
        <w:t xml:space="preserve">This slippage is the crux of the current spread. Management struck an increasingly confident tone on the Q1 call — CEO Mark George said the refiled application "considerably strengthens" the case and that he feels better than he did months ago. Watch for whether the July 23 call reinforces the mid-2027 timeline or hints at further delay, and any color on STB conditions, environmental-review timing, or opposition from other railroads/shippers.</w:t>
      </w:r>
    </w:p>
    <w:p>
      <w:r>
        <w:pict>
          <v:rect style="width:0;height:1.5pt" o:hralign="center" o:hrstd="t" o:hr="t"/>
        </w:pict>
      </w:r>
    </w:p>
    <w:bookmarkEnd w:id="11"/>
    <w:bookmarkStart w:id="12" w:name="q2-2026-numbers-set-the-bar-with-context"/>
    <w:p>
      <w:pPr>
        <w:pStyle w:val="Heading2"/>
      </w:pPr>
      <w:r>
        <w:t xml:space="preserve">Q2 2026 numbers: set the bar with context</w:t>
      </w:r>
    </w:p>
    <w:p>
      <w:pPr>
        <w:pStyle w:val="FirstParagraph"/>
      </w:pPr>
      <w:r>
        <w:t xml:space="preserve">Norfolk Southern did</w:t>
      </w:r>
      <w:r>
        <w:t xml:space="preserve"> </w:t>
      </w:r>
      <w:r>
        <w:rPr>
          <w:b/>
          <w:bCs/>
        </w:rPr>
        <w:t xml:space="preserve">not</w:t>
      </w:r>
      <w:r>
        <w:t xml:space="preserve"> </w:t>
      </w:r>
      <w:r>
        <w:t xml:space="preserve">hold a Q2 2025 earnings call (it coincided with the merger announcement), so the year-ago comparison is unusually favorable and worth flagging:</w:t>
      </w:r>
    </w:p>
    <w:p>
      <w:pPr>
        <w:pStyle w:val="BodyText"/>
      </w:pPr>
      <w:r>
        <w:rPr>
          <w:b/>
          <w:bCs/>
        </w:rPr>
        <w:t xml:space="preserve">Q2 2025 baseline (the comp):</w:t>
      </w:r>
    </w:p>
    <w:p>
      <w:pPr>
        <w:pStyle w:val="Compact"/>
        <w:numPr>
          <w:ilvl w:val="0"/>
          <w:numId w:val="1002"/>
        </w:numPr>
      </w:pPr>
      <w:r>
        <w:t xml:space="preserve">Revenue $3.11B; GAAP OR 62.2% /</w:t>
      </w:r>
      <w:r>
        <w:t xml:space="preserve"> </w:t>
      </w:r>
      <w:r>
        <w:rPr>
          <w:b/>
          <w:bCs/>
        </w:rPr>
        <w:t xml:space="preserve">adjusted OR 63.4%</w:t>
      </w:r>
      <w:r>
        <w:t xml:space="preserve">; GAAP EPS $3.41 /</w:t>
      </w:r>
      <w:r>
        <w:t xml:space="preserve"> </w:t>
      </w:r>
      <w:r>
        <w:rPr>
          <w:b/>
          <w:bCs/>
        </w:rPr>
        <w:t xml:space="preserve">adjusted EPS $3.29</w:t>
      </w:r>
    </w:p>
    <w:p>
      <w:pPr>
        <w:pStyle w:val="Compact"/>
        <w:numPr>
          <w:ilvl w:val="0"/>
          <w:numId w:val="1002"/>
        </w:numPr>
      </w:pPr>
      <w:r>
        <w:t xml:space="preserve">Note: Q2 2025 was flattered by a</w:t>
      </w:r>
      <w:r>
        <w:t xml:space="preserve"> </w:t>
      </w:r>
      <w:r>
        <w:rPr>
          <w:b/>
          <w:bCs/>
        </w:rPr>
        <w:t xml:space="preserve">~$35M land-sale gain</w:t>
      </w:r>
      <w:r>
        <w:t xml:space="preserve"> </w:t>
      </w:r>
      <w:r>
        <w:t xml:space="preserve">and by Eastern Ohio recoveries exceeding costs.</w:t>
      </w:r>
    </w:p>
    <w:p>
      <w:pPr>
        <w:pStyle w:val="FirstParagraph"/>
      </w:pPr>
      <w:r>
        <w:rPr>
          <w:b/>
          <w:bCs/>
        </w:rPr>
        <w:t xml:space="preserve">Q1 2026 (most recent, the sequential base):</w:t>
      </w:r>
    </w:p>
    <w:p>
      <w:pPr>
        <w:pStyle w:val="Compact"/>
        <w:numPr>
          <w:ilvl w:val="0"/>
          <w:numId w:val="1003"/>
        </w:numPr>
      </w:pPr>
      <w:r>
        <w:t xml:space="preserve">Revenue $3.0B (flat YoY); volume −1%</w:t>
      </w:r>
    </w:p>
    <w:p>
      <w:pPr>
        <w:pStyle w:val="Compact"/>
        <w:numPr>
          <w:ilvl w:val="0"/>
          <w:numId w:val="1003"/>
        </w:numPr>
      </w:pPr>
      <w:r>
        <w:t xml:space="preserve">GAAP OR 70.7% /</w:t>
      </w:r>
      <w:r>
        <w:t xml:space="preserve"> </w:t>
      </w:r>
      <w:r>
        <w:rPr>
          <w:b/>
          <w:bCs/>
        </w:rPr>
        <w:t xml:space="preserve">adjusted OR 68.7%</w:t>
      </w:r>
      <w:r>
        <w:t xml:space="preserve"> </w:t>
      </w:r>
      <w:r>
        <w:t xml:space="preserve">(80 bps</w:t>
      </w:r>
      <w:r>
        <w:t xml:space="preserve"> </w:t>
      </w:r>
      <w:r>
        <w:rPr>
          <w:i/>
          <w:iCs/>
        </w:rPr>
        <w:t xml:space="preserve">worse</w:t>
      </w:r>
      <w:r>
        <w:t xml:space="preserve"> </w:t>
      </w:r>
      <w:r>
        <w:t xml:space="preserve">YoY); GAAP EPS $2.43 /</w:t>
      </w:r>
      <w:r>
        <w:t xml:space="preserve"> </w:t>
      </w:r>
      <w:r>
        <w:rPr>
          <w:b/>
          <w:bCs/>
        </w:rPr>
        <w:t xml:space="preserve">adjusted EPS $2.65</w:t>
      </w:r>
      <w:r>
        <w:t xml:space="preserve"> </w:t>
      </w:r>
      <w:r>
        <w:t xml:space="preserve">(−1% YoY)</w:t>
      </w:r>
    </w:p>
    <w:p>
      <w:pPr>
        <w:pStyle w:val="Compact"/>
        <w:numPr>
          <w:ilvl w:val="0"/>
          <w:numId w:val="1003"/>
        </w:numPr>
      </w:pPr>
      <w:r>
        <w:t xml:space="preserve">Included $52M merger-related expense and $10M Eastern Ohio costs</w:t>
      </w:r>
    </w:p>
    <w:p>
      <w:pPr>
        <w:pStyle w:val="FirstParagraph"/>
      </w:pPr>
      <w:r>
        <w:rPr>
          <w:b/>
          <w:bCs/>
        </w:rPr>
        <w:t xml:space="preserve">What management guided for Q2 (from the Q1 call):</w:t>
      </w:r>
      <w:r>
        <w:t xml:space="preserve"> </w:t>
      </w:r>
      <w:r>
        <w:t xml:space="preserve">roughly</w:t>
      </w:r>
      <w:r>
        <w:t xml:space="preserve"> </w:t>
      </w:r>
      <w:r>
        <w:rPr>
          <w:b/>
          <w:bCs/>
        </w:rPr>
        <w:t xml:space="preserve">~200 bps of sequential adjusted-OR improvement</w:t>
      </w:r>
      <w:r>
        <w:t xml:space="preserve"> </w:t>
      </w:r>
      <w:r>
        <w:t xml:space="preserve">(i.e., toward ~66.7% adjusted OR), plus an uptick in revenue — but with explicit headwinds stacked against the YoY comparison:</w:t>
      </w:r>
    </w:p>
    <w:p>
      <w:pPr>
        <w:pStyle w:val="Compact"/>
        <w:numPr>
          <w:ilvl w:val="0"/>
          <w:numId w:val="1004"/>
        </w:numPr>
      </w:pPr>
      <w:r>
        <w:t xml:space="preserve">Inflation running ~4–5%</w:t>
      </w:r>
    </w:p>
    <w:p>
      <w:pPr>
        <w:pStyle w:val="Compact"/>
        <w:numPr>
          <w:ilvl w:val="0"/>
          <w:numId w:val="1004"/>
        </w:numPr>
      </w:pPr>
      <w:r>
        <w:rPr>
          <w:b/>
          <w:bCs/>
        </w:rPr>
        <w:t xml:space="preserve">No repeat of the ~$35M Q2 2025 land sale</w:t>
      </w:r>
    </w:p>
    <w:p>
      <w:pPr>
        <w:pStyle w:val="Compact"/>
        <w:numPr>
          <w:ilvl w:val="0"/>
          <w:numId w:val="1004"/>
        </w:numPr>
      </w:pPr>
      <w:r>
        <w:rPr>
          <w:b/>
          <w:bCs/>
        </w:rPr>
        <w:t xml:space="preserve">Merger-related revenue losses</w:t>
      </w:r>
      <w:r>
        <w:t xml:space="preserve">, concentrated in intermodal (competitors formed alliances after the deal was announced)</w:t>
      </w:r>
    </w:p>
    <w:p>
      <w:pPr>
        <w:pStyle w:val="Compact"/>
        <w:numPr>
          <w:ilvl w:val="0"/>
          <w:numId w:val="1004"/>
        </w:numPr>
      </w:pPr>
      <w:r>
        <w:rPr>
          <w:b/>
          <w:bCs/>
        </w:rPr>
        <w:t xml:space="preserve">Fuel</w:t>
      </w:r>
      <w:r>
        <w:t xml:space="preserve">, which surged in March/April and was called a continued Q2 headwind</w:t>
      </w:r>
    </w:p>
    <w:p>
      <w:pPr>
        <w:pStyle w:val="FirstParagraph"/>
      </w:pPr>
      <w:r>
        <w:t xml:space="preserve">Net: expect solid</w:t>
      </w:r>
      <w:r>
        <w:t xml:space="preserve"> </w:t>
      </w:r>
      <w:r>
        <w:rPr>
          <w:i/>
          <w:iCs/>
        </w:rPr>
        <w:t xml:space="preserve">sequential</w:t>
      </w:r>
      <w:r>
        <w:t xml:space="preserve"> </w:t>
      </w:r>
      <w:r>
        <w:t xml:space="preserve">margin progress but likely a</w:t>
      </w:r>
      <w:r>
        <w:t xml:space="preserve"> </w:t>
      </w:r>
      <w:r>
        <w:rPr>
          <w:b/>
          <w:bCs/>
        </w:rPr>
        <w:t xml:space="preserve">meaningful YoY decline</w:t>
      </w:r>
      <w:r>
        <w:t xml:space="preserve"> </w:t>
      </w:r>
      <w:r>
        <w:t xml:space="preserve">in adjusted OR and EPS off a tough, land-sale-aided comp. Because of the pending deal, NSC provides only a</w:t>
      </w:r>
      <w:r>
        <w:t xml:space="preserve"> </w:t>
      </w:r>
      <w:r>
        <w:rPr>
          <w:b/>
          <w:bCs/>
        </w:rPr>
        <w:t xml:space="preserve">full-year adjusted operating-cost envelope of</w:t>
      </w:r>
      <w:r>
        <w:rPr>
          <w:b/>
          <w:bCs/>
        </w:rPr>
        <w:t xml:space="preserve"> </w:t>
      </w:r>
      <m:oMath>
        <m:r>
          <m:t>8.2</m:t>
        </m:r>
        <m:r>
          <m:t>B</m:t>
        </m:r>
        <m:r>
          <m:rPr>
            <m:sty m:val="p"/>
          </m:rPr>
          <m:t>–</m:t>
        </m:r>
      </m:oMath>
      <w:r>
        <w:rPr>
          <w:b/>
          <w:bCs/>
        </w:rPr>
        <w:t xml:space="preserve">8.4B</w:t>
      </w:r>
      <w:r>
        <w:t xml:space="preserve"> </w:t>
      </w:r>
      <w:r>
        <w:t xml:space="preserve">(with $150M+ of targeted 2026 productivity) rather than full guidance — watch whether that envelope holds despite fuel volatility.</w:t>
      </w:r>
    </w:p>
    <w:p>
      <w:r>
        <w:pict>
          <v:rect style="width:0;height:1.5pt" o:hralign="center" o:hrstd="t" o:hr="t"/>
        </w:pict>
      </w:r>
    </w:p>
    <w:bookmarkEnd w:id="12"/>
    <w:bookmarkStart w:id="13" w:name="X866863a9bae4d602ec656bfdc303b06d9acec9b"/>
    <w:p>
      <w:pPr>
        <w:pStyle w:val="Heading2"/>
      </w:pPr>
      <w:r>
        <w:t xml:space="preserve">Operating trends to watch inside the print</w:t>
      </w:r>
    </w:p>
    <w:p>
      <w:pPr>
        <w:pStyle w:val="Compact"/>
        <w:numPr>
          <w:ilvl w:val="0"/>
          <w:numId w:val="1005"/>
        </w:numPr>
      </w:pPr>
      <w:r>
        <w:rPr>
          <w:b/>
          <w:bCs/>
        </w:rPr>
        <w:t xml:space="preserve">Volume/revenue mix:</w:t>
      </w:r>
      <w:r>
        <w:t xml:space="preserve"> </w:t>
      </w:r>
      <w:r>
        <w:t xml:space="preserve">Q1 volume was −1% with revenue flat. Coal volume was strong (+9%) on utility demand/restocking but RPU fell 9% on mix. Merchandise growth in chemicals/autos, but merchandise RPU-ex-fuel was flat on lower-rated commodity mix (frac sand, NGLs). Intermodal was down 4% on tough tariff-pull-forward comps and merger-related losses.</w:t>
      </w:r>
    </w:p>
    <w:p>
      <w:pPr>
        <w:pStyle w:val="Compact"/>
        <w:numPr>
          <w:ilvl w:val="0"/>
          <w:numId w:val="1005"/>
        </w:numPr>
      </w:pPr>
      <w:r>
        <w:rPr>
          <w:b/>
          <w:bCs/>
        </w:rPr>
        <w:t xml:space="preserve">Intermodal:</w:t>
      </w:r>
      <w:r>
        <w:t xml:space="preserve"> </w:t>
      </w:r>
      <w:r>
        <w:t xml:space="preserve">management is bullish on domestic (higher diesel makes rail more competitive vs. truck) but cautious on international (soft, trade/tariff uncertainty). Watch peak-season commentary and whether merger-related share losses are stabilizing.</w:t>
      </w:r>
    </w:p>
    <w:p>
      <w:pPr>
        <w:pStyle w:val="Compact"/>
        <w:numPr>
          <w:ilvl w:val="0"/>
          <w:numId w:val="1005"/>
        </w:numPr>
      </w:pPr>
      <w:r>
        <w:rPr>
          <w:b/>
          <w:bCs/>
        </w:rPr>
        <w:t xml:space="preserve">Macro "green shoots":</w:t>
      </w:r>
      <w:r>
        <w:t xml:space="preserve"> </w:t>
      </w:r>
      <w:r>
        <w:t xml:space="preserve">management flagged possible early signs of an industrial upturn (plastics, metals) but stopped short of calling an end to the freight recession. Any change in tone matters for the combined-company growth narrative.</w:t>
      </w:r>
    </w:p>
    <w:p>
      <w:pPr>
        <w:pStyle w:val="Compact"/>
        <w:numPr>
          <w:ilvl w:val="0"/>
          <w:numId w:val="1005"/>
        </w:numPr>
      </w:pPr>
      <w:r>
        <w:rPr>
          <w:b/>
          <w:bCs/>
        </w:rPr>
        <w:t xml:space="preserve">Cost/productivity:</w:t>
      </w:r>
      <w:r>
        <w:t xml:space="preserve"> </w:t>
      </w:r>
      <w:r>
        <w:t xml:space="preserve">fuel-efficiency records, lower recrews, headcount discipline (T&amp;E down ~6% YoY). Incremental margins should be strong if volumes inflect.</w:t>
      </w:r>
    </w:p>
    <w:p>
      <w:r>
        <w:pict>
          <v:rect style="width:0;height:1.5pt" o:hralign="center" o:hrstd="t" o:hr="t"/>
        </w:pict>
      </w:r>
    </w:p>
    <w:bookmarkEnd w:id="13"/>
    <w:bookmarkStart w:id="14" w:name="X78ecbc422b082f1ae4db0aa3af3f52667ecb478"/>
    <w:p>
      <w:pPr>
        <w:pStyle w:val="Heading2"/>
      </w:pPr>
      <w:r>
        <w:t xml:space="preserve">Management change — a subtle but notable signal</w:t>
      </w:r>
    </w:p>
    <w:p>
      <w:pPr>
        <w:pStyle w:val="FirstParagraph"/>
      </w:pPr>
      <w:r>
        <w:t xml:space="preserve">On</w:t>
      </w:r>
      <w:r>
        <w:t xml:space="preserve"> </w:t>
      </w:r>
      <w:r>
        <w:rPr>
          <w:b/>
          <w:bCs/>
        </w:rPr>
        <w:t xml:space="preserve">May 31, 2026, COO John Orr resigned for "good reason,"</w:t>
      </w:r>
      <w:r>
        <w:t xml:space="preserve"> </w:t>
      </w:r>
      <w:r>
        <w:t xml:space="preserve">citing proposed operational changes that would diminish his duties (i.e., merger integration). Norfolk Southern named</w:t>
      </w:r>
      <w:r>
        <w:t xml:space="preserve"> </w:t>
      </w:r>
      <w:r>
        <w:rPr>
          <w:b/>
          <w:bCs/>
        </w:rPr>
        <w:t xml:space="preserve">Brian Barr COO effective June 1, 2026</w:t>
      </w:r>
      <w:r>
        <w:t xml:space="preserve"> </w:t>
      </w:r>
      <w:r>
        <w:t xml:space="preserve">— notably an executive with prior senior roles at</w:t>
      </w:r>
      <w:r>
        <w:t xml:space="preserve"> </w:t>
      </w:r>
      <w:r>
        <w:rPr>
          <w:b/>
          <w:bCs/>
        </w:rPr>
        <w:t xml:space="preserve">both Union Pacific and CSX</w:t>
      </w:r>
      <w:r>
        <w:t xml:space="preserve">, which reads as integration-oriented. Orr stays on as a special advisor through the merger close and receives a $2.25M retention payment at closing. This reinforces that the organization is increasingly being run</w:t>
      </w:r>
      <w:r>
        <w:t xml:space="preserve"> </w:t>
      </w:r>
      <w:r>
        <w:rPr>
          <w:i/>
          <w:iCs/>
        </w:rPr>
        <w:t xml:space="preserve">toward</w:t>
      </w:r>
      <w:r>
        <w:t xml:space="preserve"> </w:t>
      </w:r>
      <w:r>
        <w:t xml:space="preserve">the UP combination rather than as a standalone.</w:t>
      </w:r>
    </w:p>
    <w:p>
      <w:r>
        <w:pict>
          <v:rect style="width:0;height:1.5pt" o:hralign="center" o:hrstd="t" o:hr="t"/>
        </w:pict>
      </w:r>
    </w:p>
    <w:bookmarkEnd w:id="14"/>
    <w:bookmarkStart w:id="15" w:name="what-to-listen-for-on-the-call"/>
    <w:p>
      <w:pPr>
        <w:pStyle w:val="Heading2"/>
      </w:pPr>
      <w:r>
        <w:t xml:space="preserve">What to listen for on the call</w:t>
      </w:r>
    </w:p>
    <w:p>
      <w:pPr>
        <w:pStyle w:val="Compact"/>
        <w:numPr>
          <w:ilvl w:val="0"/>
          <w:numId w:val="1006"/>
        </w:numPr>
      </w:pPr>
      <w:r>
        <w:rPr>
          <w:b/>
          <w:bCs/>
        </w:rPr>
        <w:t xml:space="preserve">STB timeline</w:t>
      </w:r>
      <w:r>
        <w:t xml:space="preserve"> </w:t>
      </w:r>
      <w:r>
        <w:t xml:space="preserve">— reaffirmation (or not) of the mid-2027 close and the July 27 supplemental filing; any hint of conditions or environmental-review restart.</w:t>
      </w:r>
    </w:p>
    <w:p>
      <w:pPr>
        <w:pStyle w:val="Compact"/>
        <w:numPr>
          <w:ilvl w:val="0"/>
          <w:numId w:val="1006"/>
        </w:numPr>
      </w:pPr>
      <w:r>
        <w:rPr>
          <w:b/>
          <w:bCs/>
        </w:rPr>
        <w:t xml:space="preserve">Merger revenue leakage</w:t>
      </w:r>
      <w:r>
        <w:t xml:space="preserve"> </w:t>
      </w:r>
      <w:r>
        <w:t xml:space="preserve">— magnitude/trajectory of intermodal share losses to competitor alliances.</w:t>
      </w:r>
    </w:p>
    <w:p>
      <w:pPr>
        <w:pStyle w:val="Compact"/>
        <w:numPr>
          <w:ilvl w:val="0"/>
          <w:numId w:val="1006"/>
        </w:numPr>
      </w:pPr>
      <w:r>
        <w:rPr>
          <w:b/>
          <w:bCs/>
        </w:rPr>
        <w:t xml:space="preserve">Fuel and the cost envelope</w:t>
      </w:r>
      <w:r>
        <w:t xml:space="preserve"> </w:t>
      </w:r>
      <w:r>
        <w:t xml:space="preserve">— whether the $8.2–8.4B guide survives fuel volatility.</w:t>
      </w:r>
    </w:p>
    <w:p>
      <w:pPr>
        <w:pStyle w:val="Compact"/>
        <w:numPr>
          <w:ilvl w:val="0"/>
          <w:numId w:val="1006"/>
        </w:numPr>
      </w:pPr>
      <w:r>
        <w:rPr>
          <w:b/>
          <w:bCs/>
        </w:rPr>
        <w:t xml:space="preserve">Volume cadence</w:t>
      </w:r>
      <w:r>
        <w:t xml:space="preserve"> </w:t>
      </w:r>
      <w:r>
        <w:t xml:space="preserve">— peak-season intermodal setup, coal export/thermal opportunity, and any firming in merchandise/industrial demand.</w:t>
      </w:r>
    </w:p>
    <w:p>
      <w:pPr>
        <w:pStyle w:val="Compact"/>
        <w:numPr>
          <w:ilvl w:val="0"/>
          <w:numId w:val="1006"/>
        </w:numPr>
      </w:pPr>
      <w:r>
        <w:rPr>
          <w:b/>
          <w:bCs/>
        </w:rPr>
        <w:t xml:space="preserve">Standalone vs. combined framing</w:t>
      </w:r>
      <w:r>
        <w:t xml:space="preserve"> </w:t>
      </w:r>
      <w:r>
        <w:t xml:space="preserve">— how much of the strategic story is now about the transcontinental network and $2.75B of targeted synergies.</w:t>
      </w:r>
    </w:p>
    <w:bookmarkEnd w:id="15"/>
    <w:bookmarkStart w:id="16" w:name="bottom-line"/>
    <w:p>
      <w:pPr>
        <w:pStyle w:val="Heading2"/>
      </w:pPr>
      <w:r>
        <w:t xml:space="preserve">Bottom line</w:t>
      </w:r>
    </w:p>
    <w:p>
      <w:pPr>
        <w:pStyle w:val="FirstParagraph"/>
      </w:pPr>
      <w:r>
        <w:t xml:space="preserve">Norfolk Southern reports as a company whose equity value is largely locked to the UP deal. Expect a decent</w:t>
      </w:r>
      <w:r>
        <w:t xml:space="preserve"> </w:t>
      </w:r>
      <w:r>
        <w:rPr>
          <w:i/>
          <w:iCs/>
        </w:rPr>
        <w:t xml:space="preserve">sequential</w:t>
      </w:r>
      <w:r>
        <w:t xml:space="preserve"> </w:t>
      </w:r>
      <w:r>
        <w:t xml:space="preserve">margin improvement but softer</w:t>
      </w:r>
      <w:r>
        <w:t xml:space="preserve"> </w:t>
      </w:r>
      <w:r>
        <w:rPr>
          <w:i/>
          <w:iCs/>
        </w:rPr>
        <w:t xml:space="preserve">YoY</w:t>
      </w:r>
      <w:r>
        <w:t xml:space="preserve"> </w:t>
      </w:r>
      <w:r>
        <w:t xml:space="preserve">profitability against a land-sale-aided Q2 2025 comp, with fuel and merger-related revenue losses the main drags. For the stock, the print is secondary — the</w:t>
      </w:r>
      <w:r>
        <w:t xml:space="preserve"> </w:t>
      </w:r>
      <w:r>
        <w:rPr>
          <w:b/>
          <w:bCs/>
        </w:rPr>
        <w:t xml:space="preserve">STB approval path and the ~15% deal spread to a mid-2027 close</w:t>
      </w:r>
      <w:r>
        <w:t xml:space="preserve"> </w:t>
      </w:r>
      <w:r>
        <w:t xml:space="preserve">are what an investor needs to underwrite. Trade the merger, not the quarter, and use the call primarily to update your regulatory probability and timing.</w:t>
      </w:r>
    </w:p>
    <w:p>
      <w:r>
        <w:pict>
          <v:rect style="width:0;height:1.5pt" o:hralign="center" o:hrstd="t" o:hr="t"/>
        </w:pict>
      </w:r>
    </w:p>
    <w:p>
      <w:pPr>
        <w:pStyle w:val="FirstParagraph"/>
      </w:pPr>
      <w:r>
        <w:rPr>
          <w:i/>
          <w:iCs/>
        </w:rPr>
        <w:t xml:space="preserve">Preview based on NSC's Q1 2026 earnings call/release, the Q2 2025 release, the June 1, 2026 8-K (COO change), the UP–NS merger agreement disclosures, and STB filings/public news through July 22, 2026. Figures are as reported by the company and market data as of the 7/22/2026 close.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2026-07-23T00:46:01Z</dcterms:created>
  <dcterms:modified xsi:type="dcterms:W3CDTF">2026-07-23T00:46:01Z</dcterms:modified>
</cp:coreProperties>
</file>

<file path=docProps/custom.xml><?xml version="1.0" encoding="utf-8"?>
<Properties xmlns="http://schemas.openxmlformats.org/officeDocument/2006/custom-properties" xmlns:vt="http://schemas.openxmlformats.org/officeDocument/2006/docPropsVTypes"/>
</file>