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pull the Q2 2025 earnings release for the actual baseline figures, and check the STB supplemental filing news detail.# Norfolk Southern (NSC) Q2 2026 Earnings Preview</w:t>
      </w:r>
      <w:r>
        <w:t xml:space="preserve"> </w:t>
      </w:r>
      <w:r>
        <w:rPr>
          <w:b/>
          <w:bCs/>
        </w:rPr>
        <w:t xml:space="preserve">Report date:</w:t>
      </w:r>
      <w:r>
        <w:t xml:space="preserve"> </w:t>
      </w:r>
      <w:r>
        <w:t xml:space="preserve">Thursday, July 23, 2026, before market open |</w:t>
      </w:r>
      <w:r>
        <w:t xml:space="preserve"> </w:t>
      </w:r>
      <w:r>
        <w:rPr>
          <w:b/>
          <w:bCs/>
        </w:rPr>
        <w:t xml:space="preserve">Fiscal period:</w:t>
      </w:r>
      <w:r>
        <w:t xml:space="preserve"> </w:t>
      </w:r>
      <w:r>
        <w:t xml:space="preserve">2026Q2</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Norfolk Southern reports second-quarter results tomorrow morning, notably on the</w:t>
      </w:r>
      <w:r>
        <w:t xml:space="preserve"> </w:t>
      </w:r>
      <w:r>
        <w:rPr>
          <w:b/>
          <w:bCs/>
        </w:rPr>
        <w:t xml:space="preserve">same day as merger partner Union Pacific</w:t>
      </w:r>
      <w:r>
        <w:t xml:space="preserve">, which releases its own Q2 results at 7:45 a.m. ET. Investors will effectively get a combined read on the future transcontinental railroad in a single session.</w:t>
      </w:r>
    </w:p>
    <w:p>
      <w:pPr>
        <w:pStyle w:val="BodyText"/>
      </w:pPr>
      <w:r>
        <w:rPr>
          <w:b/>
          <w:bCs/>
        </w:rPr>
        <w:t xml:space="preserve">Consensus estimates</w:t>
      </w:r>
      <w:r>
        <w:t xml:space="preserve"> </w:t>
      </w:r>
      <w:r>
        <w:t xml:space="preserve">are running higher into the print than they were 60-90 days ago:</w:t>
      </w:r>
    </w:p>
    <w:p>
      <w:pPr>
        <w:pStyle w:val="Compact"/>
        <w:numPr>
          <w:ilvl w:val="0"/>
          <w:numId w:val="1001"/>
        </w:numPr>
      </w:pPr>
      <w:r>
        <w:t xml:space="preserve">EPS: consensus sits around</w:t>
      </w:r>
      <w:r>
        <w:t xml:space="preserve"> </w:t>
      </w:r>
      <m:oMath>
        <m:r>
          <m:t>3.23</m:t>
        </m:r>
        <m:r>
          <m:rPr>
            <m:sty m:val="p"/>
          </m:rPr>
          <m:t>*</m:t>
        </m:r>
        <m:r>
          <m:rPr>
            <m:sty m:val="p"/>
          </m:rPr>
          <m:t>*</m:t>
        </m:r>
        <m:r>
          <m:rPr>
            <m:sty m:val="p"/>
          </m:rPr>
          <m:t>(</m:t>
        </m:r>
        <m:r>
          <m:t>Z</m:t>
        </m:r>
        <m:r>
          <m:t>a</m:t>
        </m:r>
        <m:r>
          <m:t>c</m:t>
        </m:r>
        <m:r>
          <m:t>k</m:t>
        </m:r>
        <m:r>
          <m:t>s</m:t>
        </m:r>
        <m:r>
          <m:rPr>
            <m:sty m:val="p"/>
          </m:rPr>
          <m:t>)</m:t>
        </m:r>
        <m:r>
          <m:t>t</m:t>
        </m:r>
        <m:r>
          <m:t>o</m:t>
        </m:r>
        <m:r>
          <m:rPr>
            <m:sty m:val="p"/>
          </m:rPr>
          <m:t>*</m:t>
        </m:r>
        <m:r>
          <m:rPr>
            <m:sty m:val="p"/>
          </m:rPr>
          <m:t>*</m:t>
        </m:r>
      </m:oMath>
      <w:r>
        <w:rPr>
          <w:b/>
          <w:bCs/>
        </w:rPr>
        <w:t xml:space="preserve">3.31</w:t>
      </w:r>
      <w:r>
        <w:t xml:space="preserve"> </w:t>
      </w:r>
      <w:r>
        <w:t xml:space="preserve">(a broader 19-analyst poll), roughly flat to modestly up versus the</w:t>
      </w:r>
      <w:r>
        <w:t xml:space="preserve"> </w:t>
      </w:r>
      <w:r>
        <w:rPr>
          <w:b/>
          <w:bCs/>
        </w:rPr>
        <w:t xml:space="preserve">$3.29</w:t>
      </w:r>
      <w:r>
        <w:t xml:space="preserve"> </w:t>
      </w:r>
      <w:r>
        <w:t xml:space="preserve">adjusted EPS Norfolk Southern posted in Q2 2025 — a quarter in which the company didn't even hold an earnings call because it coincided with the UP merger announcement.</w:t>
      </w:r>
    </w:p>
    <w:p>
      <w:pPr>
        <w:pStyle w:val="Compact"/>
        <w:numPr>
          <w:ilvl w:val="0"/>
          <w:numId w:val="1001"/>
        </w:numPr>
      </w:pPr>
      <w:r>
        <w:t xml:space="preserve">Revenue: consensus of roughly</w:t>
      </w:r>
      <w:r>
        <w:t xml:space="preserve"> </w:t>
      </w:r>
      <m:oMath>
        <m:r>
          <m:t>3.32</m:t>
        </m:r>
        <m:r>
          <m:rPr>
            <m:sty m:val="p"/>
          </m:rPr>
          <m:t>–</m:t>
        </m:r>
        <m:r>
          <m:t>3.38</m:t>
        </m:r>
        <m:r>
          <m:t>b</m:t>
        </m:r>
        <m:r>
          <m:t>i</m:t>
        </m:r>
        <m:r>
          <m:t>l</m:t>
        </m:r>
        <m:r>
          <m:t>l</m:t>
        </m:r>
        <m:r>
          <m:t>i</m:t>
        </m:r>
        <m:r>
          <m:t>o</m:t>
        </m:r>
        <m:r>
          <m:t>n</m:t>
        </m:r>
        <m:r>
          <m:rPr>
            <m:sty m:val="p"/>
          </m:rPr>
          <m:t>*</m:t>
        </m:r>
        <m:r>
          <m:rPr>
            <m:sty m:val="p"/>
          </m:rPr>
          <m:t>*</m:t>
        </m:r>
        <m:r>
          <m:rPr>
            <m:sty m:val="p"/>
          </m:rPr>
          <m:t>,</m:t>
        </m:r>
        <m:r>
          <m:t>u</m:t>
        </m:r>
        <m:r>
          <m:t>p</m:t>
        </m:r>
        <m:r>
          <m:t>h</m:t>
        </m:r>
        <m:r>
          <m:t>i</m:t>
        </m:r>
        <m:r>
          <m:t>g</m:t>
        </m:r>
        <m:r>
          <m:t>h</m:t>
        </m:r>
        <m:r>
          <m:rPr>
            <m:sty m:val="p"/>
          </m:rPr>
          <m:t>−</m:t>
        </m:r>
        <m:r>
          <m:t>s</m:t>
        </m:r>
        <m:r>
          <m:t>i</m:t>
        </m:r>
        <m:r>
          <m:t>n</m:t>
        </m:r>
        <m:r>
          <m:t>g</m:t>
        </m:r>
        <m:r>
          <m:t>l</m:t>
        </m:r>
        <m:r>
          <m:t>e</m:t>
        </m:r>
        <m:r>
          <m:rPr>
            <m:sty m:val="p"/>
          </m:rPr>
          <m:t>−</m:t>
        </m:r>
        <m:r>
          <m:t>d</m:t>
        </m:r>
        <m:r>
          <m:t>i</m:t>
        </m:r>
        <m:r>
          <m:t>g</m:t>
        </m:r>
        <m:r>
          <m:t>i</m:t>
        </m:r>
        <m:r>
          <m:t>t</m:t>
        </m:r>
        <m:r>
          <m:t>s</m:t>
        </m:r>
        <m:r>
          <m:t>v</m:t>
        </m:r>
        <m:r>
          <m:t>e</m:t>
        </m:r>
        <m:r>
          <m:t>r</m:t>
        </m:r>
        <m:r>
          <m:t>s</m:t>
        </m:r>
        <m:r>
          <m:t>u</m:t>
        </m:r>
        <m:r>
          <m:t>s</m:t>
        </m:r>
        <m:r>
          <m:t>t</m:t>
        </m:r>
        <m:r>
          <m:t>h</m:t>
        </m:r>
        <m:r>
          <m:t>e</m:t>
        </m:r>
        <m:r>
          <m:rPr>
            <m:sty m:val="p"/>
          </m:rPr>
          <m:t>*</m:t>
        </m:r>
        <m:r>
          <m:rPr>
            <m:sty m:val="p"/>
          </m:rPr>
          <m:t>*</m:t>
        </m:r>
      </m:oMath>
      <w:r>
        <w:rPr>
          <w:b/>
          <w:bCs/>
        </w:rPr>
        <w:t xml:space="preserve">3.11 billion</w:t>
      </w:r>
      <w:r>
        <w:t xml:space="preserve"> </w:t>
      </w:r>
      <w:r>
        <w:t xml:space="preserve">reported a year ago (a comparison flattered partly by higher fuel-surcharge revenue).</w:t>
      </w:r>
    </w:p>
    <w:p>
      <w:pPr>
        <w:pStyle w:val="Compact"/>
        <w:numPr>
          <w:ilvl w:val="0"/>
          <w:numId w:val="1001"/>
        </w:numPr>
      </w:pPr>
      <w:r>
        <w:t xml:space="preserve">Estimate revisions have moved higher into the print — the Zacks EPS consensus has risen</w:t>
      </w:r>
      <w:r>
        <w:t xml:space="preserve"> </w:t>
      </w:r>
      <w:r>
        <w:rPr>
          <w:b/>
          <w:bCs/>
        </w:rPr>
        <w:t xml:space="preserve">4.4% in the last 30 days</w:t>
      </w:r>
      <w:r>
        <w:t xml:space="preserve"> </w:t>
      </w:r>
      <w:r>
        <w:t xml:space="preserve">and</w:t>
      </w:r>
      <w:r>
        <w:t xml:space="preserve"> </w:t>
      </w:r>
      <w:r>
        <w:rPr>
          <w:b/>
          <w:bCs/>
        </w:rPr>
        <w:t xml:space="preserve">5.8% over three months</w:t>
      </w:r>
      <w:r>
        <w:t xml:space="preserve">, and analysts see intermodal segment revenue up roughly</w:t>
      </w:r>
      <w:r>
        <w:t xml:space="preserve"> </w:t>
      </w:r>
      <w:r>
        <w:rPr>
          <w:b/>
          <w:bCs/>
        </w:rPr>
        <w:t xml:space="preserve">5.7%</w:t>
      </w:r>
      <w:r>
        <w:t xml:space="preserve"> </w:t>
      </w:r>
      <w:r>
        <w:t xml:space="preserve">year over year — even as some outlets note full-year 2026/2027 estimates had drifted lower earlier in the quarter on merger and macro uncertainty.</w:t>
      </w:r>
    </w:p>
    <w:p>
      <w:pPr>
        <w:pStyle w:val="Compact"/>
        <w:numPr>
          <w:ilvl w:val="0"/>
          <w:numId w:val="1001"/>
        </w:numPr>
      </w:pPr>
      <w:r>
        <w:t xml:space="preserve">NSC has beaten Street EPS estimates in each of the trailing four quarters, most recently topping Q1 2026 consensus of $2.51 with an adjusted $2.65.</w:t>
      </w:r>
    </w:p>
    <w:p>
      <w:pPr>
        <w:pStyle w:val="FirstParagraph"/>
      </w:pPr>
      <w:r>
        <w:rPr>
          <w:b/>
          <w:bCs/>
        </w:rPr>
        <w:t xml:space="preserve">Peer read-through:</w:t>
      </w:r>
      <w:r>
        <w:t xml:space="preserve"> </w:t>
      </w:r>
      <w:r>
        <w:t xml:space="preserve">CSX reported Q2 2026 results the day before NSC, posting</w:t>
      </w:r>
      <w:r>
        <w:t xml:space="preserve"> </w:t>
      </w:r>
      <w:r>
        <w:rPr>
          <w:b/>
          <w:bCs/>
        </w:rPr>
        <w:t xml:space="preserve">record revenue of $3.94 billion (+10% y/y)</w:t>
      </w:r>
      <w:r>
        <w:t xml:space="preserve">, EPS of $0.54 (+23%), and 6% volume growth led by 9% intermodal growth, with management citing fuel surcharge, pricing, and broad-based volume strength. That's a constructive signal for the eastern rail freight environment heading into NSC's print.</w:t>
      </w:r>
    </w:p>
    <w:bookmarkEnd w:id="9"/>
    <w:bookmarkStart w:id="10" w:name="Xc4a569143e424f0dfefe6acc049c8802fd88a58"/>
    <w:p>
      <w:pPr>
        <w:pStyle w:val="Heading2"/>
      </w:pPr>
      <w:r>
        <w:t xml:space="preserve">2. Where Things Stood After Q1 2026</w:t>
      </w:r>
    </w:p>
    <w:p>
      <w:pPr>
        <w:pStyle w:val="FirstParagraph"/>
      </w:pPr>
      <w:r>
        <w:t xml:space="preserve">Norfolk Southern's first quarter was messy on the surface but managed underneath. Revenue was $3.0 billion, roughly flat year over year on a 1% volume decline, while GAAP operating ratio worsened to 70.7% (adjusted 68.7%, up 80 bps y/y) and adjusted EPS fell 1% to $2.65. Management attributed the pressure to severe winter weather, merger-related competitive losses in intermodal, and a sharp, Iran-conflict-driven spike in fuel prices that added over $40 million of cost versus expectations in March alone. Costs, however, were tightly controlled — up just 1% despite an estimated 5% inflation/fuel headwind — reflecting continued PSR 2.0 productivity gains (fuel efficiency records, fewer recrews, lower headcount).</w:t>
      </w:r>
    </w:p>
    <w:p>
      <w:pPr>
        <w:pStyle w:val="BodyText"/>
      </w:pPr>
      <w:r>
        <w:t xml:space="preserve">Management guided to:</w:t>
      </w:r>
    </w:p>
    <w:p>
      <w:pPr>
        <w:pStyle w:val="Compact"/>
        <w:numPr>
          <w:ilvl w:val="0"/>
          <w:numId w:val="1002"/>
        </w:numPr>
      </w:pPr>
      <w:r>
        <w:t xml:space="preserve">An adjusted operating cost envelope of</w:t>
      </w:r>
      <w:r>
        <w:t xml:space="preserve"> </w:t>
      </w:r>
      <w:r>
        <w:rPr>
          <w:b/>
          <w:bCs/>
        </w:rPr>
        <w:t xml:space="preserve">$8.2–8.4 billion</w:t>
      </w:r>
      <w:r>
        <w:t xml:space="preserve"> </w:t>
      </w:r>
      <w:r>
        <w:t xml:space="preserve">for full-year 2026, reaffirmed despite fuel volatility.</w:t>
      </w:r>
    </w:p>
    <w:p>
      <w:pPr>
        <w:pStyle w:val="Compact"/>
        <w:numPr>
          <w:ilvl w:val="0"/>
          <w:numId w:val="1002"/>
        </w:numPr>
      </w:pPr>
      <w:r>
        <w:t xml:space="preserve">Roughly</w:t>
      </w:r>
      <w:r>
        <w:t xml:space="preserve"> </w:t>
      </w:r>
      <w:r>
        <w:rPr>
          <w:b/>
          <w:bCs/>
        </w:rPr>
        <w:t xml:space="preserve">200 basis points of sequential operating-ratio improvement</w:t>
      </w:r>
      <w:r>
        <w:t xml:space="preserve"> </w:t>
      </w:r>
      <w:r>
        <w:t xml:space="preserve">from Q1 to Q2, consistent with typical seasonality, even after absorbing continued fuel headwinds, the loss of a one-time $35 million land sale that benefited Q2 2025, and ongoing competitive/merger-related revenue losses.</w:t>
      </w:r>
    </w:p>
    <w:p>
      <w:pPr>
        <w:pStyle w:val="Compact"/>
        <w:numPr>
          <w:ilvl w:val="0"/>
          <w:numId w:val="1002"/>
        </w:numPr>
      </w:pPr>
      <w:r>
        <w:t xml:space="preserve">$150+ million of incremental productivity savings in 2026, building on more than $500 million generated over the prior two years.</w:t>
      </w:r>
    </w:p>
    <w:p>
      <w:pPr>
        <w:pStyle w:val="Compact"/>
        <w:numPr>
          <w:ilvl w:val="0"/>
          <w:numId w:val="1002"/>
        </w:numPr>
      </w:pPr>
      <w:r>
        <w:t xml:space="preserve">Momentum exiting Q1 with "signs of life" in the broader freight market as the quarter progressed.</w:t>
      </w:r>
    </w:p>
    <w:bookmarkEnd w:id="10"/>
    <w:bookmarkStart w:id="11" w:name="X37a49995dfc924231b22ec70fed9b8f4e894cb8"/>
    <w:p>
      <w:pPr>
        <w:pStyle w:val="Heading2"/>
      </w:pPr>
      <w:r>
        <w:t xml:space="preserve">3. Key Themes for the Print</w:t>
      </w:r>
    </w:p>
    <w:p>
      <w:pPr>
        <w:pStyle w:val="FirstParagraph"/>
      </w:pPr>
      <w:r>
        <w:rPr>
          <w:b/>
          <w:bCs/>
        </w:rPr>
        <w:t xml:space="preserve">Fuel costs — moderating, but still a swing factor.</w:t>
      </w:r>
      <w:r>
        <w:t xml:space="preserve"> </w:t>
      </w:r>
      <w:r>
        <w:t xml:space="preserve">The conflict-driven oil price spike that hit NSC in March/April has since cooled — crude fell back toward pre-conflict levels (~$75/bbl) by mid-July even as the broader Iran-related fuel-market disruption persisted earlier in the quarter. How much of that Q2 fuel headwind flowed through to the P&amp;L (net of surcharge recovery) — and whether management still expects to hit the $8.2–8.4B cost guide — will be a key focus.</w:t>
      </w:r>
    </w:p>
    <w:p>
      <w:pPr>
        <w:pStyle w:val="BodyText"/>
      </w:pPr>
      <w:r>
        <w:rPr>
          <w:b/>
          <w:bCs/>
        </w:rPr>
        <w:t xml:space="preserve">Margins — did the ~200 bps of sequential OR improvement materialize?</w:t>
      </w:r>
      <w:r>
        <w:t xml:space="preserve"> </w:t>
      </w:r>
      <w:r>
        <w:t xml:space="preserve">With cost discipline as the central pillar of the equity story (fuel efficiency records, reduced recrews, lower T&amp;E headcount, zero-based planning), the market will be watching whether NSC delivered the guided sequential margin step-up despite ongoing merger-related revenue drag.</w:t>
      </w:r>
    </w:p>
    <w:p>
      <w:pPr>
        <w:pStyle w:val="BodyText"/>
      </w:pPr>
      <w:r>
        <w:rPr>
          <w:b/>
          <w:bCs/>
        </w:rPr>
        <w:t xml:space="preserve">Volumes and competitive dynamics in intermodal.</w:t>
      </w:r>
      <w:r>
        <w:t xml:space="preserve"> </w:t>
      </w:r>
      <w:r>
        <w:t xml:space="preserve">Management flagged that rival carriers formed new alliances in response to the UP-NS merger announcement, pressuring NSC's intermodal share and revenue in recent quarters, even as they expressed optimism that higher truck diesel costs and tight driver capacity should support domestic intermodal demand. Given CSX's strong intermodal print a day earlier, investors will want to see whether NSC's domestic intermodal is stabilizing or share losses are still running.</w:t>
      </w:r>
    </w:p>
    <w:p>
      <w:pPr>
        <w:pStyle w:val="BodyText"/>
      </w:pPr>
      <w:r>
        <w:rPr>
          <w:b/>
          <w:bCs/>
        </w:rPr>
        <w:t xml:space="preserve">Coal — mixed but with upside optionality.</w:t>
      </w:r>
      <w:r>
        <w:t xml:space="preserve"> </w:t>
      </w:r>
      <w:r>
        <w:t xml:space="preserve">Utility coal has been a bright spot on electricity demand and stockpile replenishment, while export/met coal pricing has been a drag; management flagged that the Iran conflict's disruption to global LNG supply could open new markets for U.S. thermal coal exports, a potential positive RPU mix swing worth tracking.</w:t>
      </w:r>
    </w:p>
    <w:p>
      <w:pPr>
        <w:pStyle w:val="BodyText"/>
      </w:pPr>
      <w:r>
        <w:rPr>
          <w:b/>
          <w:bCs/>
        </w:rPr>
        <w:t xml:space="preserve">Merger with Union Pacific — the dominant overhang/catalyst.</w:t>
      </w:r>
      <w:r>
        <w:t xml:space="preserve"> </w:t>
      </w:r>
      <w:r>
        <w:t xml:space="preserve">This is arguably the single biggest variable for the stock right now. The Surface Transportation Board accepted the revised $85 billion, $320/share UP-NS merger application on May 28, 2026, but simultaneously held the proceeding — including environmental review — in abeyance and ordered the railroads to submit supplemental information by</w:t>
      </w:r>
      <w:r>
        <w:t xml:space="preserve"> </w:t>
      </w:r>
      <w:r>
        <w:rPr>
          <w:b/>
          <w:bCs/>
        </w:rPr>
        <w:t xml:space="preserve">July 27, 2026, just four days after this earnings call</w:t>
      </w:r>
      <w:r>
        <w:t xml:space="preserve">. UP and NS have already filed a first round of responses (July 7) addressing questions about jointly owned entities (TRRA, Kansas City Terminal Railway, TTX), stating they "do not control these companies today and remain firm in their commitment that they will not control them post-merger," and that they're open to remedies "up to and including divestiture." Expect analysts to press management hard on the merger timeline, STB engagement, and confidence in approval on the call.</w:t>
      </w:r>
    </w:p>
    <w:p>
      <w:pPr>
        <w:pStyle w:val="BodyText"/>
      </w:pPr>
      <w:r>
        <w:rPr>
          <w:b/>
          <w:bCs/>
        </w:rPr>
        <w:t xml:space="preserve">Capital allocation paused for the deal.</w:t>
      </w:r>
      <w:r>
        <w:t xml:space="preserve"> </w:t>
      </w:r>
      <w:r>
        <w:t xml:space="preserve">Share repurchases have effectively stopped (just $5 million in Q1 2026 versus</w:t>
      </w:r>
      <w:r>
        <w:t xml:space="preserve"> </w:t>
      </w:r>
      <m:oMath>
        <m:r>
          <m:t>534</m:t>
        </m:r>
        <m:r>
          <m:t>m</m:t>
        </m:r>
        <m:r>
          <m:t>i</m:t>
        </m:r>
        <m:r>
          <m:t>l</m:t>
        </m:r>
        <m:r>
          <m:t>l</m:t>
        </m:r>
        <m:r>
          <m:t>i</m:t>
        </m:r>
        <m:r>
          <m:t>o</m:t>
        </m:r>
        <m:r>
          <m:t>n</m:t>
        </m:r>
        <m:r>
          <m:t>f</m:t>
        </m:r>
        <m:r>
          <m:t>o</m:t>
        </m:r>
        <m:r>
          <m:t>r</m:t>
        </m:r>
        <m:r>
          <m:t>a</m:t>
        </m:r>
        <m:r>
          <m:t>l</m:t>
        </m:r>
        <m:r>
          <m:t>l</m:t>
        </m:r>
        <m:r>
          <m:t>o</m:t>
        </m:r>
        <m:r>
          <m:t>f</m:t>
        </m:r>
        <m:r>
          <m:t>2025</m:t>
        </m:r>
        <m:r>
          <m:rPr>
            <m:sty m:val="p"/>
          </m:rPr>
          <m:t>)</m:t>
        </m:r>
        <m:r>
          <m:t>w</m:t>
        </m:r>
        <m:r>
          <m:t>h</m:t>
        </m:r>
        <m:r>
          <m:t>i</m:t>
        </m:r>
        <m:r>
          <m:t>l</m:t>
        </m:r>
        <m:r>
          <m:t>e</m:t>
        </m:r>
        <m:r>
          <m:t>d</m:t>
        </m:r>
        <m:r>
          <m:t>i</m:t>
        </m:r>
        <m:r>
          <m:t>v</m:t>
        </m:r>
        <m:r>
          <m:t>i</m:t>
        </m:r>
        <m:r>
          <m:t>d</m:t>
        </m:r>
        <m:r>
          <m:t>e</m:t>
        </m:r>
        <m:r>
          <m:t>n</m:t>
        </m:r>
        <m:r>
          <m:t>d</m:t>
        </m:r>
        <m:r>
          <m:t>s</m:t>
        </m:r>
        <m:r>
          <m:t>c</m:t>
        </m:r>
        <m:r>
          <m:t>o</m:t>
        </m:r>
        <m:r>
          <m:t>n</m:t>
        </m:r>
        <m:r>
          <m:t>t</m:t>
        </m:r>
        <m:r>
          <m:t>i</m:t>
        </m:r>
        <m:r>
          <m:t>n</m:t>
        </m:r>
        <m:r>
          <m:t>u</m:t>
        </m:r>
        <m:r>
          <m:t>e</m:t>
        </m:r>
        <m:r>
          <m:rPr>
            <m:sty m:val="p"/>
          </m:rPr>
          <m:t>(</m:t>
        </m:r>
      </m:oMath>
      <w:r>
        <w:t xml:space="preserve">303 million paid in Q1 2026) — typical of a company operating under merger-agreement restrictions. No change is likely here, but it's worth noting buybacks remain on ice.</w:t>
      </w:r>
    </w:p>
    <w:bookmarkEnd w:id="11"/>
    <w:bookmarkStart w:id="12" w:name="X38eb18e23d75bb453bb36ab3c2ec913089209e9"/>
    <w:p>
      <w:pPr>
        <w:pStyle w:val="Heading2"/>
      </w:pPr>
      <w:r>
        <w:t xml:space="preserve">4. Stock Performance and Valuation Context</w:t>
      </w:r>
    </w:p>
    <w:p>
      <w:pPr>
        <w:pStyle w:val="FirstParagraph"/>
      </w:pPr>
      <w:r>
        <w:t xml:space="preserve">NSC shares have rallied strongly in 2026, moving from roughly $288 in early January to an all-time high near $340 in mid-July, before easing modestly to the</w:t>
      </w:r>
      <w:r>
        <w:t xml:space="preserve"> </w:t>
      </w:r>
      <m:oMath>
        <m:r>
          <m:t>331</m:t>
        </m:r>
        <m:r>
          <m:t>a</m:t>
        </m:r>
        <m:r>
          <m:t>r</m:t>
        </m:r>
        <m:r>
          <m:t>e</m:t>
        </m:r>
        <m:r>
          <m:t>a</m:t>
        </m:r>
        <m:r>
          <m:t>h</m:t>
        </m:r>
        <m:r>
          <m:t>e</m:t>
        </m:r>
        <m:r>
          <m:t>a</m:t>
        </m:r>
        <m:r>
          <m:t>d</m:t>
        </m:r>
        <m:r>
          <m:t>i</m:t>
        </m:r>
        <m:r>
          <m:t>n</m:t>
        </m:r>
        <m:r>
          <m:t>g</m:t>
        </m:r>
        <m:r>
          <m:t>i</m:t>
        </m:r>
        <m:r>
          <m:t>n</m:t>
        </m:r>
        <m:r>
          <m:t>t</m:t>
        </m:r>
        <m:r>
          <m:t>o</m:t>
        </m:r>
        <m:r>
          <m:t>t</m:t>
        </m:r>
        <m:r>
          <m:t>h</m:t>
        </m:r>
        <m:r>
          <m:t>e</m:t>
        </m:r>
        <m:r>
          <m:t>p</m:t>
        </m:r>
        <m:r>
          <m:t>r</m:t>
        </m:r>
        <m:r>
          <m:t>i</m:t>
        </m:r>
        <m:r>
          <m:t>n</m:t>
        </m:r>
        <m:r>
          <m:t>t</m:t>
        </m:r>
        <m:r>
          <m:rPr>
            <m:sty m:val="p"/>
          </m:rPr>
          <m:t>—</m:t>
        </m:r>
        <m:r>
          <m:t>t</m:t>
        </m:r>
        <m:r>
          <m:t>r</m:t>
        </m:r>
        <m:r>
          <m:t>a</m:t>
        </m:r>
        <m:r>
          <m:t>c</m:t>
        </m:r>
        <m:r>
          <m:t>k</m:t>
        </m:r>
        <m:r>
          <m:t>i</m:t>
        </m:r>
        <m:r>
          <m:t>n</m:t>
        </m:r>
        <m:r>
          <m:t>g</m:t>
        </m:r>
        <m:r>
          <m:t>U</m:t>
        </m:r>
        <m:r>
          <m:t>n</m:t>
        </m:r>
        <m:r>
          <m:t>i</m:t>
        </m:r>
        <m:r>
          <m:t>o</m:t>
        </m:r>
        <m:r>
          <m:t>n</m:t>
        </m:r>
        <m:r>
          <m:t>P</m:t>
        </m:r>
        <m:r>
          <m:t>a</m:t>
        </m:r>
        <m:r>
          <m:t>c</m:t>
        </m:r>
        <m:r>
          <m:t>i</m:t>
        </m:r>
        <m:r>
          <m:t>f</m:t>
        </m:r>
        <m:r>
          <m:t>i</m:t>
        </m:r>
        <m:sSup>
          <m:e>
            <m:r>
              <m:t>c</m:t>
            </m:r>
          </m:e>
          <m:sup>
            <m:r>
              <m:rPr>
                <m:sty m:val="p"/>
              </m:rPr>
              <m:t>′</m:t>
            </m:r>
          </m:sup>
        </m:sSup>
        <m:r>
          <m:t>s</m:t>
        </m:r>
        <m:r>
          <m:t>s</m:t>
        </m:r>
        <m:r>
          <m:t>t</m:t>
        </m:r>
        <m:r>
          <m:t>o</m:t>
        </m:r>
        <m:r>
          <m:t>c</m:t>
        </m:r>
        <m:r>
          <m:t>k</m:t>
        </m:r>
        <m:r>
          <m:t>c</m:t>
        </m:r>
        <m:r>
          <m:t>l</m:t>
        </m:r>
        <m:r>
          <m:t>o</m:t>
        </m:r>
        <m:r>
          <m:t>s</m:t>
        </m:r>
        <m:r>
          <m:t>e</m:t>
        </m:r>
        <m:r>
          <m:t>l</m:t>
        </m:r>
        <m:r>
          <m:t>y</m:t>
        </m:r>
        <m:r>
          <m:t>a</m:t>
        </m:r>
        <m:r>
          <m:t>s</m:t>
        </m:r>
        <m:r>
          <m:t>m</m:t>
        </m:r>
        <m:r>
          <m:t>e</m:t>
        </m:r>
        <m:r>
          <m:t>r</m:t>
        </m:r>
        <m:r>
          <m:t>g</m:t>
        </m:r>
        <m:r>
          <m:t>e</m:t>
        </m:r>
        <m:r>
          <m:t>r</m:t>
        </m:r>
        <m:r>
          <m:rPr>
            <m:sty m:val="p"/>
          </m:rPr>
          <m:t>−</m:t>
        </m:r>
        <m:r>
          <m:t>c</m:t>
        </m:r>
        <m:r>
          <m:t>o</m:t>
        </m:r>
        <m:r>
          <m:t>m</m:t>
        </m:r>
        <m:r>
          <m:t>p</m:t>
        </m:r>
        <m:r>
          <m:t>l</m:t>
        </m:r>
        <m:r>
          <m:t>e</m:t>
        </m:r>
        <m:r>
          <m:t>t</m:t>
        </m:r>
        <m:r>
          <m:t>i</m:t>
        </m:r>
        <m:r>
          <m:t>o</m:t>
        </m:r>
        <m:r>
          <m:t>n</m:t>
        </m:r>
        <m:r>
          <m:t>o</m:t>
        </m:r>
        <m:r>
          <m:t>d</m:t>
        </m:r>
        <m:r>
          <m:t>d</m:t>
        </m:r>
        <m:r>
          <m:t>s</m:t>
        </m:r>
        <m:r>
          <m:t>h</m:t>
        </m:r>
        <m:r>
          <m:t>a</m:t>
        </m:r>
        <m:r>
          <m:t>v</m:t>
        </m:r>
        <m:r>
          <m:t>e</m:t>
        </m:r>
        <m:r>
          <m:t>b</m:t>
        </m:r>
        <m:r>
          <m:t>e</m:t>
        </m:r>
        <m:r>
          <m:t>e</m:t>
        </m:r>
        <m:r>
          <m:t>n</m:t>
        </m:r>
        <m:r>
          <m:t>p</m:t>
        </m:r>
        <m:r>
          <m:t>e</m:t>
        </m:r>
        <m:r>
          <m:t>r</m:t>
        </m:r>
        <m:r>
          <m:t>c</m:t>
        </m:r>
        <m:r>
          <m:t>e</m:t>
        </m:r>
        <m:r>
          <m:t>i</m:t>
        </m:r>
        <m:r>
          <m:t>v</m:t>
        </m:r>
        <m:r>
          <m:t>e</m:t>
        </m:r>
        <m:r>
          <m:t>d</m:t>
        </m:r>
        <m:r>
          <m:t>t</m:t>
        </m:r>
        <m:r>
          <m:t>o</m:t>
        </m:r>
        <m:r>
          <m:t>i</m:t>
        </m:r>
        <m:r>
          <m:t>m</m:t>
        </m:r>
        <m:r>
          <m:t>p</m:t>
        </m:r>
        <m:r>
          <m:t>r</m:t>
        </m:r>
        <m:r>
          <m:t>o</m:t>
        </m:r>
        <m:r>
          <m:t>v</m:t>
        </m:r>
        <m:r>
          <m:t>e</m:t>
        </m:r>
        <m:r>
          <m:rPr>
            <m:sty m:val="p"/>
          </m:rPr>
          <m:t>(</m:t>
        </m:r>
        <m:r>
          <m:t>t</m:t>
        </m:r>
        <m:r>
          <m:t>h</m:t>
        </m:r>
        <m:r>
          <m:t>e</m:t>
        </m:r>
        <m:r>
          <m:t>S</m:t>
        </m:r>
        <m:r>
          <m:t>T</m:t>
        </m:r>
        <m:sSup>
          <m:e>
            <m:r>
              <m:t>B</m:t>
            </m:r>
          </m:e>
          <m:sup>
            <m:r>
              <m:rPr>
                <m:sty m:val="p"/>
              </m:rPr>
              <m:t>′</m:t>
            </m:r>
          </m:sup>
        </m:sSup>
        <m:r>
          <m:t>s</m:t>
        </m:r>
        <m:r>
          <m:t>a</m:t>
        </m:r>
        <m:r>
          <m:t>c</m:t>
        </m:r>
        <m:r>
          <m:t>c</m:t>
        </m:r>
        <m:r>
          <m:t>e</m:t>
        </m:r>
        <m:r>
          <m:t>p</m:t>
        </m:r>
        <m:r>
          <m:t>t</m:t>
        </m:r>
        <m:r>
          <m:t>a</m:t>
        </m:r>
        <m:r>
          <m:t>n</m:t>
        </m:r>
        <m:r>
          <m:t>c</m:t>
        </m:r>
        <m:r>
          <m:t>e</m:t>
        </m:r>
        <m:r>
          <m:t>o</m:t>
        </m:r>
        <m:r>
          <m:t>f</m:t>
        </m:r>
        <m:r>
          <m:t>t</m:t>
        </m:r>
        <m:r>
          <m:t>h</m:t>
        </m:r>
        <m:r>
          <m:t>e</m:t>
        </m:r>
        <m:r>
          <m:t>a</m:t>
        </m:r>
        <m:r>
          <m:t>p</m:t>
        </m:r>
        <m:r>
          <m:t>p</m:t>
        </m:r>
        <m:r>
          <m:t>l</m:t>
        </m:r>
        <m:r>
          <m:t>i</m:t>
        </m:r>
        <m:r>
          <m:t>c</m:t>
        </m:r>
        <m:r>
          <m:t>a</m:t>
        </m:r>
        <m:r>
          <m:t>t</m:t>
        </m:r>
        <m:r>
          <m:t>i</m:t>
        </m:r>
        <m:r>
          <m:t>o</m:t>
        </m:r>
        <m:r>
          <m:t>n</m:t>
        </m:r>
        <m:r>
          <m:rPr>
            <m:sty m:val="p"/>
          </m:rPr>
          <m:t>,</m:t>
        </m:r>
        <m:r>
          <m:t>a</m:t>
        </m:r>
        <m:r>
          <m:t>l</m:t>
        </m:r>
        <m:r>
          <m:t>o</m:t>
        </m:r>
        <m:r>
          <m:t>n</m:t>
        </m:r>
        <m:r>
          <m:t>g</m:t>
        </m:r>
        <m:r>
          <m:t>w</m:t>
        </m:r>
        <m:r>
          <m:t>i</m:t>
        </m:r>
        <m:r>
          <m:t>t</m:t>
        </m:r>
        <m:r>
          <m:t>h</m:t>
        </m:r>
        <m:r>
          <m:t>t</m:t>
        </m:r>
        <m:r>
          <m:t>h</m:t>
        </m:r>
        <m:r>
          <m:t>e</m:t>
        </m:r>
        <m:r>
          <m:t>t</m:t>
        </m:r>
        <m:r>
          <m:t>w</m:t>
        </m:r>
        <m:r>
          <m:t>o</m:t>
        </m:r>
        <m:r>
          <m:t>r</m:t>
        </m:r>
        <m:r>
          <m:t>a</m:t>
        </m:r>
        <m:r>
          <m:t>i</m:t>
        </m:r>
        <m:r>
          <m:t>l</m:t>
        </m:r>
        <m:r>
          <m:t>r</m:t>
        </m:r>
        <m:r>
          <m:t>o</m:t>
        </m:r>
        <m:r>
          <m:t>a</m:t>
        </m:r>
        <m:r>
          <m:t>d</m:t>
        </m:r>
        <m:sSup>
          <m:e>
            <m:r>
              <m:t>s</m:t>
            </m:r>
          </m:e>
          <m:sup>
            <m:r>
              <m:rPr>
                <m:sty m:val="p"/>
              </m:rPr>
              <m:t>′</m:t>
            </m:r>
          </m:sup>
        </m:sSup>
        <m:r>
          <m:t>r</m:t>
        </m:r>
        <m:r>
          <m:t>e</m:t>
        </m:r>
        <m:r>
          <m:t>s</m:t>
        </m:r>
        <m:r>
          <m:t>p</m:t>
        </m:r>
        <m:r>
          <m:t>o</m:t>
        </m:r>
        <m:r>
          <m:t>n</m:t>
        </m:r>
        <m:r>
          <m:t>s</m:t>
        </m:r>
        <m:r>
          <m:t>i</m:t>
        </m:r>
        <m:r>
          <m:t>v</m:t>
        </m:r>
        <m:r>
          <m:t>e</m:t>
        </m:r>
        <m:r>
          <m:t>f</m:t>
        </m:r>
        <m:r>
          <m:t>i</m:t>
        </m:r>
        <m:r>
          <m:t>l</m:t>
        </m:r>
        <m:r>
          <m:t>i</m:t>
        </m:r>
        <m:r>
          <m:t>n</m:t>
        </m:r>
        <m:r>
          <m:t>g</m:t>
        </m:r>
        <m:r>
          <m:t>s</m:t>
        </m:r>
        <m:r>
          <m:rPr>
            <m:sty m:val="p"/>
          </m:rPr>
          <m:t>,</m:t>
        </m:r>
        <m:r>
          <m:t>h</m:t>
        </m:r>
        <m:r>
          <m:t>a</m:t>
        </m:r>
        <m:r>
          <m:t>v</m:t>
        </m:r>
        <m:r>
          <m:t>e</m:t>
        </m:r>
        <m:r>
          <m:t>b</m:t>
        </m:r>
        <m:r>
          <m:t>e</m:t>
        </m:r>
        <m:r>
          <m:t>e</m:t>
        </m:r>
        <m:r>
          <m:t>n</m:t>
        </m:r>
        <m:r>
          <m:t>r</m:t>
        </m:r>
        <m:r>
          <m:t>e</m:t>
        </m:r>
        <m:r>
          <m:t>a</m:t>
        </m:r>
        <m:r>
          <m:t>d</m:t>
        </m:r>
        <m:r>
          <m:t>a</m:t>
        </m:r>
        <m:r>
          <m:t>s</m:t>
        </m:r>
        <m:r>
          <m:t>i</m:t>
        </m:r>
        <m:r>
          <m:t>n</m:t>
        </m:r>
        <m:r>
          <m:t>c</m:t>
        </m:r>
        <m:r>
          <m:t>r</m:t>
        </m:r>
        <m:r>
          <m:t>e</m:t>
        </m:r>
        <m:r>
          <m:t>m</m:t>
        </m:r>
        <m:r>
          <m:t>e</m:t>
        </m:r>
        <m:r>
          <m:t>n</m:t>
        </m:r>
        <m:r>
          <m:t>t</m:t>
        </m:r>
        <m:r>
          <m:t>a</m:t>
        </m:r>
        <m:r>
          <m:t>l</m:t>
        </m:r>
        <m:r>
          <m:t>p</m:t>
        </m:r>
        <m:r>
          <m:t>o</m:t>
        </m:r>
        <m:r>
          <m:t>s</m:t>
        </m:r>
        <m:r>
          <m:t>i</m:t>
        </m:r>
        <m:r>
          <m:t>t</m:t>
        </m:r>
        <m:r>
          <m:t>i</m:t>
        </m:r>
        <m:r>
          <m:t>v</m:t>
        </m:r>
        <m:r>
          <m:t>e</m:t>
        </m:r>
        <m:r>
          <m:t>s</m:t>
        </m:r>
        <m:r>
          <m:rPr>
            <m:sty m:val="p"/>
          </m:rPr>
          <m:t>)</m:t>
        </m:r>
        <m:r>
          <m:rPr>
            <m:sty m:val="p"/>
          </m:rPr>
          <m:t>.</m:t>
        </m:r>
        <m:r>
          <m:t>E</m:t>
        </m:r>
        <m:r>
          <m:t>v</m:t>
        </m:r>
        <m:r>
          <m:t>e</m:t>
        </m:r>
        <m:r>
          <m:t>n</m:t>
        </m:r>
        <m:r>
          <m:t>s</m:t>
        </m:r>
        <m:r>
          <m:t>o</m:t>
        </m:r>
        <m:r>
          <m:rPr>
            <m:sty m:val="p"/>
          </m:rPr>
          <m:t>,</m:t>
        </m:r>
        <m:r>
          <m:t>N</m:t>
        </m:r>
        <m:r>
          <m:t>S</m:t>
        </m:r>
        <m:r>
          <m:t>C</m:t>
        </m:r>
        <m:r>
          <m:t>t</m:t>
        </m:r>
        <m:r>
          <m:t>r</m:t>
        </m:r>
        <m:r>
          <m:t>a</m:t>
        </m:r>
        <m:r>
          <m:t>d</m:t>
        </m:r>
        <m:r>
          <m:t>e</m:t>
        </m:r>
        <m:r>
          <m:t>s</m:t>
        </m:r>
        <m:r>
          <m:t>a</m:t>
        </m:r>
        <m:r>
          <m:t>t</m:t>
        </m:r>
        <m:r>
          <m:t>a</m:t>
        </m:r>
        <m:r>
          <m:t>m</m:t>
        </m:r>
        <m:r>
          <m:t>e</m:t>
        </m:r>
        <m:r>
          <m:t>a</m:t>
        </m:r>
        <m:r>
          <m:t>n</m:t>
        </m:r>
        <m:r>
          <m:t>i</m:t>
        </m:r>
        <m:r>
          <m:t>n</m:t>
        </m:r>
        <m:r>
          <m:t>g</m:t>
        </m:r>
        <m:r>
          <m:t>f</m:t>
        </m:r>
        <m:r>
          <m:t>u</m:t>
        </m:r>
        <m:r>
          <m:t>l</m:t>
        </m:r>
        <m:r>
          <m:t>d</m:t>
        </m:r>
        <m:r>
          <m:t>i</m:t>
        </m:r>
        <m:r>
          <m:t>s</m:t>
        </m:r>
        <m:r>
          <m:t>c</m:t>
        </m:r>
        <m:r>
          <m:t>o</m:t>
        </m:r>
        <m:r>
          <m:t>u</m:t>
        </m:r>
        <m:r>
          <m:t>n</m:t>
        </m:r>
        <m:r>
          <m:t>t</m:t>
        </m:r>
        <m:r>
          <m:t>t</m:t>
        </m:r>
        <m:r>
          <m:t>o</m:t>
        </m:r>
        <m:r>
          <m:t>t</m:t>
        </m:r>
        <m:r>
          <m:t>h</m:t>
        </m:r>
        <m:r>
          <m:t>e</m:t>
        </m:r>
        <m:r>
          <m:t>i</m:t>
        </m:r>
        <m:r>
          <m:t>m</m:t>
        </m:r>
        <m:r>
          <m:t>p</m:t>
        </m:r>
        <m:r>
          <m:t>l</m:t>
        </m:r>
        <m:r>
          <m:t>i</m:t>
        </m:r>
        <m:r>
          <m:t>e</m:t>
        </m:r>
        <m:r>
          <m:t>d</m:t>
        </m:r>
        <m:r>
          <m:t>d</m:t>
        </m:r>
        <m:r>
          <m:t>e</m:t>
        </m:r>
        <m:r>
          <m:t>a</m:t>
        </m:r>
        <m:r>
          <m:t>l</m:t>
        </m:r>
        <m:r>
          <m:t>v</m:t>
        </m:r>
        <m:r>
          <m:t>a</m:t>
        </m:r>
        <m:r>
          <m:t>l</m:t>
        </m:r>
        <m:r>
          <m:t>u</m:t>
        </m:r>
        <m:r>
          <m:t>e</m:t>
        </m:r>
        <m:r>
          <m:rPr>
            <m:sty m:val="p"/>
          </m:rPr>
          <m:t>:</m:t>
        </m:r>
        <m:r>
          <m:t>a</m:t>
        </m:r>
        <m:r>
          <m:t>t</m:t>
        </m:r>
        <m:r>
          <m:t>U</m:t>
        </m:r>
        <m:r>
          <m:t>N</m:t>
        </m:r>
        <m:sSup>
          <m:e>
            <m:r>
              <m:t>P</m:t>
            </m:r>
          </m:e>
          <m:sup>
            <m:r>
              <m:rPr>
                <m:sty m:val="p"/>
              </m:rPr>
              <m:t>′</m:t>
            </m:r>
          </m:sup>
        </m:sSup>
        <m:r>
          <m:t>s</m:t>
        </m:r>
        <m:r>
          <m:t>r</m:t>
        </m:r>
        <m:r>
          <m:t>e</m:t>
        </m:r>
        <m:r>
          <m:t>c</m:t>
        </m:r>
        <m:r>
          <m:t>e</m:t>
        </m:r>
        <m:r>
          <m:t>n</m:t>
        </m:r>
        <m:r>
          <m:t>t</m:t>
        </m:r>
        <m:r>
          <m:t> </m:t>
        </m:r>
      </m:oMath>
      <w:r>
        <w:t xml:space="preserve">293 share price, the 1.0 UNP share + $88.82 cash consideration implies roughly</w:t>
      </w:r>
      <w:r>
        <w:t xml:space="preserve"> </w:t>
      </w:r>
      <m:oMath>
        <m:r>
          <m:t>381</m:t>
        </m:r>
        <m:r>
          <m:rPr>
            <m:sty m:val="p"/>
          </m:rPr>
          <m:t>–</m:t>
        </m:r>
        <m:r>
          <m:t>382</m:t>
        </m:r>
        <m:r>
          <m:t>p</m:t>
        </m:r>
        <m:r>
          <m:t>e</m:t>
        </m:r>
        <m:r>
          <m:t>r</m:t>
        </m:r>
        <m:r>
          <m:t>N</m:t>
        </m:r>
        <m:r>
          <m:t>S</m:t>
        </m:r>
        <m:r>
          <m:t>C</m:t>
        </m:r>
        <m:r>
          <m:t>s</m:t>
        </m:r>
        <m:r>
          <m:t>h</m:t>
        </m:r>
        <m:r>
          <m:t>a</m:t>
        </m:r>
        <m:r>
          <m:t>r</m:t>
        </m:r>
        <m:r>
          <m:t>e</m:t>
        </m:r>
        <m:r>
          <m:rPr>
            <m:sty m:val="p"/>
          </m:rPr>
          <m:t>,</m:t>
        </m:r>
        <m:r>
          <m:t>v</m:t>
        </m:r>
        <m:r>
          <m:t>e</m:t>
        </m:r>
        <m:r>
          <m:t>r</m:t>
        </m:r>
        <m:r>
          <m:t>s</m:t>
        </m:r>
        <m:r>
          <m:t>u</m:t>
        </m:r>
        <m:r>
          <m:t>s</m:t>
        </m:r>
        <m:r>
          <m:t>N</m:t>
        </m:r>
        <m:r>
          <m:t>S</m:t>
        </m:r>
        <m:sSup>
          <m:e>
            <m:r>
              <m:t>C</m:t>
            </m:r>
          </m:e>
          <m:sup>
            <m:r>
              <m:rPr>
                <m:sty m:val="p"/>
              </m:rPr>
              <m:t>′</m:t>
            </m:r>
          </m:sup>
        </m:sSup>
        <m:r>
          <m:t>s</m:t>
        </m:r>
        <m:r>
          <m:t>a</m:t>
        </m:r>
        <m:r>
          <m:t>c</m:t>
        </m:r>
        <m:r>
          <m:t>t</m:t>
        </m:r>
        <m:r>
          <m:t>u</m:t>
        </m:r>
        <m:r>
          <m:t>a</m:t>
        </m:r>
        <m:r>
          <m:t>l</m:t>
        </m:r>
        <m:r>
          <m:t> </m:t>
        </m:r>
      </m:oMath>
      <w:r>
        <w:t xml:space="preserve">331 — a spread of over 13%, reflecting the market's continued discounting of regulatory/timeline risk and the extended STB review process (abeyance, supplemental filings, no clear approval date).</w:t>
      </w:r>
    </w:p>
    <w:p>
      <w:pPr>
        <w:pStyle w:val="BodyText"/>
      </w:pPr>
      <w:r>
        <w:t xml:space="preserve">Sell-side sentiment is mixed-to-improving: Susquehanna raised its price target to $360 from $337 in mid-July, while other houses (e.g., Morgan Stanley, Raymond James) maintain Hold-type ratings, and BMO has moved its target up over the course of the year (to $310 in late April) while keeping a "market perform" stance. Zacks flagged that full-year 2026/2027 consensus estimates had drifted lower over the past 90 days even as near-term Q2 estimates were revised up heading into the print — a sign that the stock's move has been driven more by merger-arbitrage dynamics than by a broad re-rating of standalone earnings power.</w:t>
      </w:r>
    </w:p>
    <w:bookmarkEnd w:id="12"/>
    <w:bookmarkStart w:id="13" w:name="X29ee1ad0714bb05d00aea7c6825354321dbe8ed"/>
    <w:p>
      <w:pPr>
        <w:pStyle w:val="Heading2"/>
      </w:pPr>
      <w:r>
        <w:t xml:space="preserve">5. What to Watch on the Call</w:t>
      </w:r>
    </w:p>
    <w:p>
      <w:pPr>
        <w:pStyle w:val="Compact"/>
        <w:numPr>
          <w:ilvl w:val="0"/>
          <w:numId w:val="1003"/>
        </w:numPr>
      </w:pPr>
      <w:r>
        <w:rPr>
          <w:b/>
          <w:bCs/>
        </w:rPr>
        <w:t xml:space="preserve">Guidance confirmation:</w:t>
      </w:r>
      <w:r>
        <w:t xml:space="preserve"> </w:t>
      </w:r>
      <w:r>
        <w:t xml:space="preserve">Is the $8.2–8.4B FY26 adjusted cost envelope still intact given fuel volatility, and did Q2 deliver the ~200 bps of sequential OR improvement?</w:t>
      </w:r>
    </w:p>
    <w:p>
      <w:pPr>
        <w:pStyle w:val="Compact"/>
        <w:numPr>
          <w:ilvl w:val="0"/>
          <w:numId w:val="1003"/>
        </w:numPr>
      </w:pPr>
      <w:r>
        <w:rPr>
          <w:b/>
          <w:bCs/>
        </w:rPr>
        <w:t xml:space="preserve">Revenue/volume trajectory:</w:t>
      </w:r>
      <w:r>
        <w:t xml:space="preserve"> </w:t>
      </w:r>
      <w:r>
        <w:t xml:space="preserve">Signs of a real freight demand inflection (echoing CSX's strong Q2) versus continued intermodal share pressure from merger-related competitive responses.</w:t>
      </w:r>
    </w:p>
    <w:p>
      <w:pPr>
        <w:pStyle w:val="Compact"/>
        <w:numPr>
          <w:ilvl w:val="0"/>
          <w:numId w:val="1003"/>
        </w:numPr>
      </w:pPr>
      <w:r>
        <w:rPr>
          <w:b/>
          <w:bCs/>
        </w:rPr>
        <w:t xml:space="preserve">Fuel cost quantification:</w:t>
      </w:r>
      <w:r>
        <w:t xml:space="preserve"> </w:t>
      </w:r>
      <w:r>
        <w:t xml:space="preserve">How much fuel added/subtracted from the quarter, and the outlook for H2 now that crude has partially retraced its conflict-driven spike.</w:t>
      </w:r>
    </w:p>
    <w:p>
      <w:pPr>
        <w:pStyle w:val="Compact"/>
        <w:numPr>
          <w:ilvl w:val="0"/>
          <w:numId w:val="1003"/>
        </w:numPr>
      </w:pPr>
      <w:r>
        <w:rPr>
          <w:b/>
          <w:bCs/>
        </w:rPr>
        <w:t xml:space="preserve">Merger commentary:</w:t>
      </w:r>
      <w:r>
        <w:t xml:space="preserve"> </w:t>
      </w:r>
      <w:r>
        <w:t xml:space="preserve">Any color on the STB's abeyance, the substance of the July 27 supplemental filing, divestiture willingness around TRRA/KCT/TTX, and management's confidence in timing/approval — this is likely to move the stock more than the quarterly numbers themselves.</w:t>
      </w:r>
    </w:p>
    <w:p>
      <w:pPr>
        <w:pStyle w:val="Compact"/>
        <w:numPr>
          <w:ilvl w:val="0"/>
          <w:numId w:val="1003"/>
        </w:numPr>
      </w:pPr>
      <w:r>
        <w:rPr>
          <w:b/>
          <w:bCs/>
        </w:rPr>
        <w:t xml:space="preserve">Coal and export dynamics:</w:t>
      </w:r>
      <w:r>
        <w:t xml:space="preserve"> </w:t>
      </w:r>
      <w:r>
        <w:t xml:space="preserve">Whether Iran-conflict-related LNG disruption is translating into incremental U.S. thermal coal export demand.</w:t>
      </w:r>
    </w:p>
    <w:p>
      <w:pPr>
        <w:pStyle w:val="Compact"/>
        <w:numPr>
          <w:ilvl w:val="0"/>
          <w:numId w:val="1003"/>
        </w:numPr>
      </w:pPr>
      <w:r>
        <w:rPr>
          <w:b/>
          <w:bCs/>
        </w:rPr>
        <w:t xml:space="preserve">Capital allocation:</w:t>
      </w:r>
      <w:r>
        <w:t xml:space="preserve"> </w:t>
      </w:r>
      <w:r>
        <w:t xml:space="preserve">Confirmation that buybacks remain paused and dividend policy is unchanged pending the merger's resolution.</w:t>
      </w:r>
    </w:p>
    <w:p>
      <w:pPr>
        <w:pStyle w:val="FirstParagraph"/>
      </w:pPr>
      <w:r>
        <w:t xml:space="preserve">Given the deal overhang, NSC's quarterly fundamentals (costs, OR, volumes) matter, but the stock is likely to trade primarily on incremental information about merger approval odds and timeline — making management's tone on the STB process the single most important input from tomorrow's call.</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2026-07-23T00:47:05Z</dcterms:created>
  <dcterms:modified xsi:type="dcterms:W3CDTF">2026-07-23T00:47:05Z</dcterms:modified>
</cp:coreProperties>
</file>

<file path=docProps/custom.xml><?xml version="1.0" encoding="utf-8"?>
<Properties xmlns="http://schemas.openxmlformats.org/officeDocument/2006/custom-properties" xmlns:vt="http://schemas.openxmlformats.org/officeDocument/2006/docPropsVTypes"/>
</file>