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2ed47a3a06a3f127855080b8030277099cb360"/>
    <w:p>
      <w:pPr>
        <w:pStyle w:val="Heading1"/>
      </w:pPr>
      <w:r>
        <w:t xml:space="preserve">Norfolk Southern (NSC) 2026Q2 Earnings Preview</w:t>
      </w:r>
    </w:p>
    <w:p>
      <w:pPr>
        <w:pStyle w:val="BlockText"/>
      </w:pPr>
      <w:r>
        <w:rPr>
          <w:b/>
          <w:bCs/>
        </w:rPr>
        <w:t xml:space="preserve">Timing clarification:</w:t>
      </w:r>
      <w:r>
        <w:t xml:space="preserve"> </w:t>
      </w:r>
      <w:r>
        <w:t xml:space="preserve">Norfolk Southern is scheduled to report</w:t>
      </w:r>
      <w:r>
        <w:t xml:space="preserve"> </w:t>
      </w:r>
      <w:r>
        <w:rPr>
          <w:b/>
          <w:bCs/>
        </w:rPr>
        <w:t xml:space="preserve">today, July 23, 2026, before the market opens</w:t>
      </w:r>
      <w:r>
        <w:t xml:space="preserve">, not tomorrow. (</w:t>
      </w:r>
      <w:hyperlink r:id="rId9">
        <w:r>
          <w:rPr>
            <w:rStyle w:val="Hyperlink"/>
          </w:rPr>
          <w:t xml:space="preserve">tipranks.com</w:t>
        </w:r>
      </w:hyperlink>
      <w:r>
        <w:t xml:space="preserve">)</w:t>
      </w:r>
    </w:p>
    <w:bookmarkStart w:id="10" w:name="investment-setup"/>
    <w:p>
      <w:pPr>
        <w:pStyle w:val="Heading2"/>
      </w:pPr>
      <w:r>
        <w:t xml:space="preserve">Investment setup</w:t>
      </w:r>
    </w:p>
    <w:p>
      <w:pPr>
        <w:pStyle w:val="FirstParagraph"/>
      </w:pPr>
      <w:r>
        <w:t xml:space="preserve">NSC enters the report with a favorable volume backdrop but several moving pieces below the revenue line. The central earnings question is whether stronger traffic and ongoing productivity can overcome elevated fuel costs, inflation, merger-related competitive losses, and an unfavorable comparison from a prior-year land sale.</w:t>
      </w:r>
    </w:p>
    <w:p>
      <w:pPr>
        <w:pStyle w:val="BodyText"/>
      </w:pPr>
      <w:r>
        <w:t xml:space="preserve">The earnings release itself matters, but the stock is increasingly trading as a</w:t>
      </w:r>
      <w:r>
        <w:t xml:space="preserve"> </w:t>
      </w:r>
      <w:r>
        <w:rPr>
          <w:b/>
          <w:bCs/>
        </w:rPr>
        <w:t xml:space="preserve">Union Pacific merger-arbitrage security</w:t>
      </w:r>
      <w:r>
        <w:t xml:space="preserve">. Consequently, comments about the regulatory process—particularly the upcoming July 27 supplemental filing deadline—may have as much influence as a modest EPS beat or miss.</w:t>
      </w:r>
    </w:p>
    <w:bookmarkEnd w:id="10"/>
    <w:bookmarkStart w:id="12" w:name="key-expectations"/>
    <w:p>
      <w:pPr>
        <w:pStyle w:val="Heading2"/>
      </w:pPr>
      <w:r>
        <w:t xml:space="preserve">Key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2026Q2 expectation/setup</w:t>
            </w:r>
          </w:p>
        </w:tc>
        <w:tc>
          <w:tcPr/>
          <w:p>
            <w:pPr>
              <w:pStyle w:val="Compact"/>
              <w:jc w:val="right"/>
            </w:pPr>
            <w:r>
              <w:t xml:space="preserve">2025Q2 actual</w:t>
            </w:r>
          </w:p>
        </w:tc>
      </w:tr>
      <w:tr>
        <w:tc>
          <w:tcPr/>
          <w:p>
            <w:pPr>
              <w:pStyle w:val="Compact"/>
            </w:pPr>
            <w:r>
              <w:t xml:space="preserve">Revenue</w:t>
            </w:r>
          </w:p>
        </w:tc>
        <w:tc>
          <w:tcPr/>
          <w:p>
            <w:pPr>
              <w:pStyle w:val="Compact"/>
              <w:jc w:val="right"/>
            </w:pPr>
            <w:r>
              <w:t xml:space="preserve">Approximately</w:t>
            </w:r>
            <w:r>
              <w:t xml:space="preserve"> </w:t>
            </w:r>
            <w:r>
              <w:rPr>
                <w:b/>
                <w:bCs/>
              </w:rPr>
              <w:t xml:space="preserve">$3.25 billion</w:t>
            </w:r>
          </w:p>
        </w:tc>
        <w:tc>
          <w:tcPr/>
          <w:p>
            <w:pPr>
              <w:pStyle w:val="Compact"/>
              <w:jc w:val="right"/>
            </w:pPr>
            <w:r>
              <w:t xml:space="preserve">$3.11 billion</w:t>
            </w:r>
          </w:p>
        </w:tc>
      </w:tr>
      <w:tr>
        <w:tc>
          <w:tcPr/>
          <w:p>
            <w:pPr>
              <w:pStyle w:val="Compact"/>
            </w:pPr>
            <w:r>
              <w:t xml:space="preserve">Adjusted EPS</w:t>
            </w:r>
          </w:p>
        </w:tc>
        <w:tc>
          <w:tcPr/>
          <w:p>
            <w:pPr>
              <w:pStyle w:val="Compact"/>
              <w:jc w:val="right"/>
            </w:pPr>
            <w:r>
              <w:t xml:space="preserve">Approximately</w:t>
            </w:r>
            <w:r>
              <w:t xml:space="preserve"> </w:t>
            </w:r>
            <m:oMath>
              <m:r>
                <m:t>3.20</m:t>
              </m:r>
              <m:r>
                <m:rPr>
                  <m:sty m:val="p"/>
                </m:rPr>
                <m:t>–</m:t>
              </m:r>
            </m:oMath>
            <w:r>
              <w:rPr>
                <w:b/>
                <w:bCs/>
              </w:rPr>
              <w:t xml:space="preserve">3.32</w:t>
            </w:r>
          </w:p>
        </w:tc>
        <w:tc>
          <w:tcPr/>
          <w:p>
            <w:pPr>
              <w:pStyle w:val="Compact"/>
              <w:jc w:val="right"/>
            </w:pPr>
            <w:r>
              <w:t xml:space="preserve">$3.29</w:t>
            </w:r>
          </w:p>
        </w:tc>
      </w:tr>
      <w:tr>
        <w:tc>
          <w:tcPr/>
          <w:p>
            <w:pPr>
              <w:pStyle w:val="Compact"/>
            </w:pPr>
            <w:r>
              <w:t xml:space="preserve">Adjusted operating ratio</w:t>
            </w:r>
          </w:p>
        </w:tc>
        <w:tc>
          <w:tcPr/>
          <w:p>
            <w:pPr>
              <w:pStyle w:val="Compact"/>
              <w:jc w:val="right"/>
            </w:pPr>
            <w:r>
              <w:t xml:space="preserve">Management's Q1 comments implied roughly</w:t>
            </w:r>
            <w:r>
              <w:t xml:space="preserve"> </w:t>
            </w:r>
            <w:r>
              <w:rPr>
                <w:b/>
                <w:bCs/>
              </w:rPr>
              <w:t xml:space="preserve">66.7%</w:t>
            </w:r>
          </w:p>
        </w:tc>
        <w:tc>
          <w:tcPr/>
          <w:p>
            <w:pPr>
              <w:pStyle w:val="Compact"/>
              <w:jc w:val="right"/>
            </w:pPr>
            <w:r>
              <w:t xml:space="preserve">63.4%</w:t>
            </w:r>
          </w:p>
        </w:tc>
      </w:tr>
      <w:tr>
        <w:tc>
          <w:tcPr/>
          <w:p>
            <w:pPr>
              <w:pStyle w:val="Compact"/>
            </w:pPr>
            <w:r>
              <w:t xml:space="preserve">Report timing</w:t>
            </w:r>
          </w:p>
        </w:tc>
        <w:tc>
          <w:tcPr/>
          <w:p>
            <w:pPr>
              <w:pStyle w:val="Compact"/>
              <w:jc w:val="right"/>
            </w:pPr>
            <w:r>
              <w:t xml:space="preserve">July 23, before market open</w:t>
            </w:r>
          </w:p>
        </w:tc>
        <w:tc>
          <w:tcPr/>
          <w:p>
            <w:pPr>
              <w:pStyle w:val="Compact"/>
              <w:jc w:val="right"/>
            </w:pPr>
            <w:r>
              <w:t xml:space="preserve">—</w:t>
            </w:r>
          </w:p>
        </w:tc>
      </w:tr>
    </w:tbl>
    <w:p>
      <w:pPr>
        <w:pStyle w:val="BodyText"/>
      </w:pPr>
      <w:r>
        <w:t xml:space="preserve">Published consensus sources differ modestly: Benzinga shows</w:t>
      </w:r>
      <w:r>
        <w:t xml:space="preserve"> </w:t>
      </w:r>
      <w:r>
        <w:rPr>
          <w:b/>
          <w:bCs/>
        </w:rPr>
        <w:t xml:space="preserve">$3.20 of EPS and</w:t>
      </w:r>
      <w:r>
        <w:rPr>
          <w:b/>
          <w:bCs/>
        </w:rPr>
        <w:t xml:space="preserve"> </w:t>
      </w:r>
      <m:oMath>
        <m:r>
          <m:t>3.25</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w</m:t>
        </m:r>
        <m:r>
          <m:t>h</m:t>
        </m:r>
        <m:r>
          <m:t>i</m:t>
        </m:r>
        <m:r>
          <m:t>l</m:t>
        </m:r>
        <m:r>
          <m:t>e</m:t>
        </m:r>
        <m:r>
          <m:t>T</m:t>
        </m:r>
        <m:r>
          <m:t>i</m:t>
        </m:r>
        <m:r>
          <m:t>p</m:t>
        </m:r>
        <m:r>
          <m:t>R</m:t>
        </m:r>
        <m:r>
          <m:t>a</m:t>
        </m:r>
        <m:r>
          <m:t>n</m:t>
        </m:r>
        <m:r>
          <m:t>k</m:t>
        </m:r>
        <m:r>
          <m:t>s</m:t>
        </m:r>
        <m:r>
          <m:t>s</m:t>
        </m:r>
        <m:r>
          <m:t>h</m:t>
        </m:r>
        <m:r>
          <m:t>o</m:t>
        </m:r>
        <m:r>
          <m:t>w</m:t>
        </m:r>
        <m:r>
          <m:t>s</m:t>
        </m:r>
        <m:r>
          <m:t>a</m:t>
        </m:r>
        <m:r>
          <m:rPr>
            <m:sty m:val="p"/>
          </m:rPr>
          <m:t>*</m:t>
        </m:r>
        <m:r>
          <m:rPr>
            <m:sty m:val="p"/>
          </m:rPr>
          <m:t>*</m:t>
        </m:r>
      </m:oMath>
      <w:r>
        <w:rPr>
          <w:b/>
          <w:bCs/>
        </w:rPr>
        <w:t xml:space="preserve">3.32 EPS forecast</w:t>
      </w:r>
      <w:r>
        <w:t xml:space="preserve">. (</w:t>
      </w:r>
      <w:hyperlink r:id="rId11">
        <w:r>
          <w:rPr>
            <w:rStyle w:val="Hyperlink"/>
          </w:rPr>
          <w:t xml:space="preserve">benzinga.com</w:t>
        </w:r>
      </w:hyperlink>
      <w:r>
        <w:t xml:space="preserve">)</w:t>
      </w:r>
    </w:p>
    <w:p>
      <w:pPr>
        <w:pStyle w:val="BodyText"/>
      </w:pPr>
      <w:r>
        <w:t xml:space="preserve">The revenue estimate implies approximately</w:t>
      </w:r>
      <w:r>
        <w:t xml:space="preserve"> </w:t>
      </w:r>
      <w:r>
        <w:rPr>
          <w:b/>
          <w:bCs/>
        </w:rPr>
        <w:t xml:space="preserve">4.5% year-over-year growth</w:t>
      </w:r>
      <w:r>
        <w:t xml:space="preserve"> </w:t>
      </w:r>
      <w:r>
        <w:t xml:space="preserve">and 8% sequential growth. EPS, however, is expected to be roughly flat with last year, reflecting a less favorable cost and operating-ratio comparison.</w:t>
      </w:r>
    </w:p>
    <w:bookmarkEnd w:id="12"/>
    <w:bookmarkStart w:id="15" w:name="X6b1e5b8519cb87bd5621556aeaa745e9d65498a"/>
    <w:p>
      <w:pPr>
        <w:pStyle w:val="Heading2"/>
      </w:pPr>
      <w:r>
        <w:t xml:space="preserve">1. Traffic should be the principal positive</w:t>
      </w:r>
    </w:p>
    <w:p>
      <w:pPr>
        <w:pStyle w:val="FirstParagraph"/>
      </w:pPr>
      <w:r>
        <w:t xml:space="preserve">Norfolk Southern's operational-calendar Q2 carload data were encouraging:</w:t>
      </w:r>
    </w:p>
    <w:p>
      <w:pPr>
        <w:pStyle w:val="Compact"/>
        <w:numPr>
          <w:ilvl w:val="0"/>
          <w:numId w:val="1001"/>
        </w:numPr>
      </w:pPr>
      <w:r>
        <w:rPr>
          <w:b/>
          <w:bCs/>
        </w:rPr>
        <w:t xml:space="preserve">Total volume:</w:t>
      </w:r>
      <w:r>
        <w:t xml:space="preserve"> </w:t>
      </w:r>
      <w:r>
        <w:t xml:space="preserve">+4.6% year over year</w:t>
      </w:r>
    </w:p>
    <w:p>
      <w:pPr>
        <w:pStyle w:val="Compact"/>
        <w:numPr>
          <w:ilvl w:val="0"/>
          <w:numId w:val="1001"/>
        </w:numPr>
      </w:pPr>
      <w:r>
        <w:rPr>
          <w:b/>
          <w:bCs/>
        </w:rPr>
        <w:t xml:space="preserve">Intermodal:</w:t>
      </w:r>
      <w:r>
        <w:t xml:space="preserve"> </w:t>
      </w:r>
      <w:r>
        <w:t xml:space="preserve">+6.1%</w:t>
      </w:r>
    </w:p>
    <w:p>
      <w:pPr>
        <w:pStyle w:val="Compact"/>
        <w:numPr>
          <w:ilvl w:val="0"/>
          <w:numId w:val="1001"/>
        </w:numPr>
      </w:pPr>
      <w:r>
        <w:rPr>
          <w:b/>
          <w:bCs/>
        </w:rPr>
        <w:t xml:space="preserve">Merchandise:</w:t>
      </w:r>
      <w:r>
        <w:t xml:space="preserve"> </w:t>
      </w:r>
      <w:r>
        <w:t xml:space="preserve">+2.2%</w:t>
      </w:r>
    </w:p>
    <w:p>
      <w:pPr>
        <w:pStyle w:val="Compact"/>
        <w:numPr>
          <w:ilvl w:val="0"/>
          <w:numId w:val="1001"/>
        </w:numPr>
      </w:pPr>
      <w:r>
        <w:rPr>
          <w:b/>
          <w:bCs/>
        </w:rPr>
        <w:t xml:space="preserve">Coal and coke:</w:t>
      </w:r>
      <w:r>
        <w:t xml:space="preserve"> </w:t>
      </w:r>
      <w:r>
        <w:t xml:space="preserve">+3.8%</w:t>
      </w:r>
    </w:p>
    <w:p>
      <w:pPr>
        <w:pStyle w:val="FirstParagraph"/>
      </w:pPr>
      <w:r>
        <w:t xml:space="preserve">Within merchandise, particularly strong categories included petroleum products, chemicals, stone/clay/glass products, and food products. Grain and some forest-product categories remained soft. (</w:t>
      </w:r>
      <w:hyperlink r:id="rId13">
        <w:r>
          <w:rPr>
            <w:rStyle w:val="Hyperlink"/>
          </w:rPr>
          <w:t xml:space="preserve">norfolksouthern.investorroom.com</w:t>
        </w:r>
      </w:hyperlink>
      <w:r>
        <w:t xml:space="preserve">)</w:t>
      </w:r>
    </w:p>
    <w:p>
      <w:pPr>
        <w:pStyle w:val="BodyText"/>
      </w:pPr>
      <w:r>
        <w:t xml:space="preserve">This is a clear improvement from Q1, when total volume declined 1%. It also supports management's prior argument that March momentum was carrying into the second quarter.</w:t>
      </w:r>
    </w:p>
    <w:p>
      <w:pPr>
        <w:pStyle w:val="BodyText"/>
      </w:pPr>
      <w:r>
        <w:t xml:space="preserve">The main qualification is</w:t>
      </w:r>
      <w:r>
        <w:t xml:space="preserve"> </w:t>
      </w:r>
      <w:r>
        <w:rPr>
          <w:b/>
          <w:bCs/>
        </w:rPr>
        <w:t xml:space="preserve">revenue quality</w:t>
      </w:r>
      <w:r>
        <w:t xml:space="preserve">. Intermodal generated the fastest unit growth, but it generally carries lower revenue per unit than merchandise. Utility coal also has a weaker yield than export coal. Thus, a strong headline volume number will not necessarily produce equivalent revenue or margin growth.</w:t>
      </w:r>
    </w:p>
    <w:bookmarkStart w:id="14" w:name="what-to-watch"/>
    <w:p>
      <w:pPr>
        <w:pStyle w:val="Heading3"/>
      </w:pPr>
      <w:r>
        <w:t xml:space="preserve">What to watch</w:t>
      </w:r>
    </w:p>
    <w:p>
      <w:pPr>
        <w:pStyle w:val="Compact"/>
        <w:numPr>
          <w:ilvl w:val="0"/>
          <w:numId w:val="1002"/>
        </w:numPr>
      </w:pPr>
      <w:r>
        <w:t xml:space="preserve">International versus domestic intermodal growth</w:t>
      </w:r>
    </w:p>
    <w:p>
      <w:pPr>
        <w:pStyle w:val="Compact"/>
        <w:numPr>
          <w:ilvl w:val="0"/>
          <w:numId w:val="1002"/>
        </w:numPr>
      </w:pPr>
      <w:r>
        <w:t xml:space="preserve">Whether NSC gained freight from the highway as trucking capacity tightened</w:t>
      </w:r>
    </w:p>
    <w:p>
      <w:pPr>
        <w:pStyle w:val="Compact"/>
        <w:numPr>
          <w:ilvl w:val="0"/>
          <w:numId w:val="1002"/>
        </w:numPr>
      </w:pPr>
      <w:r>
        <w:t xml:space="preserve">Core pricing excluding fuel surcharge</w:t>
      </w:r>
    </w:p>
    <w:p>
      <w:pPr>
        <w:pStyle w:val="Compact"/>
        <w:numPr>
          <w:ilvl w:val="0"/>
          <w:numId w:val="1002"/>
        </w:numPr>
      </w:pPr>
      <w:r>
        <w:t xml:space="preserve">Merchandise revenue per unit, particularly given the growth of lower-rated chemicals and petroleum traffic</w:t>
      </w:r>
    </w:p>
    <w:p>
      <w:pPr>
        <w:pStyle w:val="Compact"/>
        <w:numPr>
          <w:ilvl w:val="0"/>
          <w:numId w:val="1002"/>
        </w:numPr>
      </w:pPr>
      <w:r>
        <w:t xml:space="preserve">Coal mix between utility, export thermal, and metallurgical traffic</w:t>
      </w:r>
    </w:p>
    <w:bookmarkEnd w:id="14"/>
    <w:bookmarkEnd w:id="15"/>
    <w:bookmarkStart w:id="16" w:name="Xcf78f2f8889a3f62f7d3dd6bf348bd724d14d85"/>
    <w:p>
      <w:pPr>
        <w:pStyle w:val="Heading2"/>
      </w:pPr>
      <w:r>
        <w:t xml:space="preserve">2. The operating ratio is the key earnings metric</w:t>
      </w:r>
    </w:p>
    <w:p>
      <w:pPr>
        <w:pStyle w:val="FirstParagraph"/>
      </w:pPr>
      <w:r>
        <w:t xml:space="preserve">NSC reported a</w:t>
      </w:r>
      <w:r>
        <w:t xml:space="preserve"> </w:t>
      </w:r>
      <w:r>
        <w:rPr>
          <w:b/>
          <w:bCs/>
        </w:rPr>
        <w:t xml:space="preserve">68.7% adjusted operating ratio in Q1</w:t>
      </w:r>
      <w:r>
        <w:t xml:space="preserve">. Management said it expected approximately 200 basis points of normal sequential improvement into Q2, suggesting an implied benchmark near</w:t>
      </w:r>
      <w:r>
        <w:t xml:space="preserve"> </w:t>
      </w:r>
      <w:r>
        <w:rPr>
          <w:b/>
          <w:bCs/>
        </w:rPr>
        <w:t xml:space="preserve">66.7%</w:t>
      </w:r>
      <w:r>
        <w:t xml:space="preserve">.</w:t>
      </w:r>
    </w:p>
    <w:p>
      <w:pPr>
        <w:pStyle w:val="BodyText"/>
      </w:pPr>
      <w:r>
        <w:t xml:space="preserve">That is the most useful hurdle for the report:</w:t>
      </w:r>
    </w:p>
    <w:p>
      <w:pPr>
        <w:pStyle w:val="Compact"/>
        <w:numPr>
          <w:ilvl w:val="0"/>
          <w:numId w:val="1003"/>
        </w:numPr>
      </w:pPr>
      <w:r>
        <w:rPr>
          <w:b/>
          <w:bCs/>
        </w:rPr>
        <w:t xml:space="preserve">Approximately 66.5% or better:</w:t>
      </w:r>
      <w:r>
        <w:t xml:space="preserve"> </w:t>
      </w:r>
      <w:r>
        <w:t xml:space="preserve">Evidence that traffic growth and productivity are overcoming the cost pressures.</w:t>
      </w:r>
    </w:p>
    <w:p>
      <w:pPr>
        <w:pStyle w:val="Compact"/>
        <w:numPr>
          <w:ilvl w:val="0"/>
          <w:numId w:val="1003"/>
        </w:numPr>
      </w:pPr>
      <w:r>
        <w:rPr>
          <w:b/>
          <w:bCs/>
        </w:rPr>
        <w:t xml:space="preserve">Approximately 66.5%–67.0%:</w:t>
      </w:r>
      <w:r>
        <w:t xml:space="preserve"> </w:t>
      </w:r>
      <w:r>
        <w:t xml:space="preserve">Broadly consistent with management's setup.</w:t>
      </w:r>
    </w:p>
    <w:p>
      <w:pPr>
        <w:pStyle w:val="Compact"/>
        <w:numPr>
          <w:ilvl w:val="0"/>
          <w:numId w:val="1003"/>
        </w:numPr>
      </w:pPr>
      <w:r>
        <w:rPr>
          <w:b/>
          <w:bCs/>
        </w:rPr>
        <w:t xml:space="preserve">Above 67%:</w:t>
      </w:r>
      <w:r>
        <w:t xml:space="preserve"> </w:t>
      </w:r>
      <w:r>
        <w:t xml:space="preserve">Likely disappointing given the stronger volume environment.</w:t>
      </w:r>
    </w:p>
    <w:p>
      <w:pPr>
        <w:pStyle w:val="Compact"/>
        <w:numPr>
          <w:ilvl w:val="0"/>
          <w:numId w:val="1003"/>
        </w:numPr>
      </w:pPr>
      <w:r>
        <w:rPr>
          <w:b/>
          <w:bCs/>
        </w:rPr>
        <w:t xml:space="preserve">Near the 2025Q2 level of 63.4%:</w:t>
      </w:r>
      <w:r>
        <w:t xml:space="preserve"> </w:t>
      </w:r>
      <w:r>
        <w:t xml:space="preserve">Highly unlikely because of fuel, inflation, merger effects, and the prior-year comparison.</w:t>
      </w:r>
    </w:p>
    <w:p>
      <w:pPr>
        <w:pStyle w:val="FirstParagraph"/>
      </w:pPr>
      <w:r>
        <w:t xml:space="preserve">Several headwinds prevent a clean year-over-year comparison:</w:t>
      </w:r>
    </w:p>
    <w:p>
      <w:pPr>
        <w:pStyle w:val="Compact"/>
        <w:numPr>
          <w:ilvl w:val="0"/>
          <w:numId w:val="1004"/>
        </w:numPr>
      </w:pPr>
      <w:r>
        <w:rPr>
          <w:b/>
          <w:bCs/>
        </w:rPr>
        <w:t xml:space="preserve">Fuel:</w:t>
      </w:r>
      <w:r>
        <w:t xml:space="preserve"> </w:t>
      </w:r>
      <w:r>
        <w:t xml:space="preserve">NSC said Q1 fuel expense was more than $40 million above its internal expectations in March alone, with the pressure continuing into Q2. Fuel-surcharge revenue should offset part of this, but timing differences can create near-term margin pressure.</w:t>
      </w:r>
    </w:p>
    <w:p>
      <w:pPr>
        <w:pStyle w:val="Compact"/>
        <w:numPr>
          <w:ilvl w:val="0"/>
          <w:numId w:val="1004"/>
        </w:numPr>
      </w:pPr>
      <w:r>
        <w:rPr>
          <w:b/>
          <w:bCs/>
        </w:rPr>
        <w:t xml:space="preserve">Inflation:</w:t>
      </w:r>
      <w:r>
        <w:t xml:space="preserve"> </w:t>
      </w:r>
      <w:r>
        <w:t xml:space="preserve">Management previously described approximately 4% underlying inflation.</w:t>
      </w:r>
    </w:p>
    <w:p>
      <w:pPr>
        <w:pStyle w:val="Compact"/>
        <w:numPr>
          <w:ilvl w:val="0"/>
          <w:numId w:val="1004"/>
        </w:numPr>
      </w:pPr>
      <w:r>
        <w:rPr>
          <w:b/>
          <w:bCs/>
        </w:rPr>
        <w:t xml:space="preserve">Land sales:</w:t>
      </w:r>
      <w:r>
        <w:t xml:space="preserve"> </w:t>
      </w:r>
      <w:r>
        <w:t xml:space="preserve">Q2 2025 included a roughly $35 million land-sale benefit that is not expected to recur.</w:t>
      </w:r>
    </w:p>
    <w:p>
      <w:pPr>
        <w:pStyle w:val="Compact"/>
        <w:numPr>
          <w:ilvl w:val="0"/>
          <w:numId w:val="1004"/>
        </w:numPr>
      </w:pPr>
      <w:r>
        <w:rPr>
          <w:b/>
          <w:bCs/>
        </w:rPr>
        <w:t xml:space="preserve">Merger-related traffic losses:</w:t>
      </w:r>
      <w:r>
        <w:t xml:space="preserve"> </w:t>
      </w:r>
      <w:r>
        <w:t xml:space="preserve">Competing railroads have used new alliances and commercial arrangements to target NSC traffic, particularly intermodal.</w:t>
      </w:r>
    </w:p>
    <w:p>
      <w:pPr>
        <w:pStyle w:val="Compact"/>
        <w:numPr>
          <w:ilvl w:val="0"/>
          <w:numId w:val="1004"/>
        </w:numPr>
      </w:pPr>
      <w:r>
        <w:rPr>
          <w:b/>
          <w:bCs/>
        </w:rPr>
        <w:t xml:space="preserve">Merger expenses:</w:t>
      </w:r>
      <w:r>
        <w:t xml:space="preserve"> </w:t>
      </w:r>
      <w:r>
        <w:t xml:space="preserve">These will continue to distort GAAP results and make adjusted figures more relevant.</w:t>
      </w:r>
    </w:p>
    <w:p>
      <w:pPr>
        <w:pStyle w:val="FirstParagraph"/>
      </w:pPr>
      <w:r>
        <w:t xml:space="preserve">Investors should therefore focus on</w:t>
      </w:r>
      <w:r>
        <w:t xml:space="preserve"> </w:t>
      </w:r>
      <w:r>
        <w:rPr>
          <w:b/>
          <w:bCs/>
        </w:rPr>
        <w:t xml:space="preserve">adjusted operating ratio, adjusted operating income, and underlying expense growth</w:t>
      </w:r>
      <w:r>
        <w:t xml:space="preserve">, rather than GAAP EPS alone.</w:t>
      </w:r>
    </w:p>
    <w:bookmarkEnd w:id="16"/>
    <w:bookmarkStart w:id="17" w:name="Xfb062a34be7c70cbec390a543db4362d07fd2f9"/>
    <w:p>
      <w:pPr>
        <w:pStyle w:val="Heading2"/>
      </w:pPr>
      <w:r>
        <w:t xml:space="preserve">3. Productivity must do more of the work</w:t>
      </w:r>
    </w:p>
    <w:p>
      <w:pPr>
        <w:pStyle w:val="FirstParagraph"/>
      </w:pPr>
      <w:r>
        <w:t xml:space="preserve">Management entered 2026 targeting at least</w:t>
      </w:r>
      <w:r>
        <w:t xml:space="preserve"> </w:t>
      </w:r>
      <w:r>
        <w:rPr>
          <w:b/>
          <w:bCs/>
        </w:rPr>
        <w:t xml:space="preserve">$150 million of productivity savings</w:t>
      </w:r>
      <w:r>
        <w:t xml:space="preserve">, following more than $500 million generated over the preceding two years. The principal levers include:</w:t>
      </w:r>
    </w:p>
    <w:p>
      <w:pPr>
        <w:pStyle w:val="Compact"/>
        <w:numPr>
          <w:ilvl w:val="0"/>
          <w:numId w:val="1005"/>
        </w:numPr>
      </w:pPr>
      <w:r>
        <w:t xml:space="preserve">Lower train-and-engine crew requirements</w:t>
      </w:r>
    </w:p>
    <w:p>
      <w:pPr>
        <w:pStyle w:val="Compact"/>
        <w:numPr>
          <w:ilvl w:val="0"/>
          <w:numId w:val="1005"/>
        </w:numPr>
      </w:pPr>
      <w:r>
        <w:t xml:space="preserve">Fewer recrews</w:t>
      </w:r>
    </w:p>
    <w:p>
      <w:pPr>
        <w:pStyle w:val="Compact"/>
        <w:numPr>
          <w:ilvl w:val="0"/>
          <w:numId w:val="1005"/>
        </w:numPr>
      </w:pPr>
      <w:r>
        <w:t xml:space="preserve">Improved locomotive reliability</w:t>
      </w:r>
    </w:p>
    <w:p>
      <w:pPr>
        <w:pStyle w:val="Compact"/>
        <w:numPr>
          <w:ilvl w:val="0"/>
          <w:numId w:val="1005"/>
        </w:numPr>
      </w:pPr>
      <w:r>
        <w:t xml:space="preserve">Longer and heavier trains</w:t>
      </w:r>
    </w:p>
    <w:p>
      <w:pPr>
        <w:pStyle w:val="Compact"/>
        <w:numPr>
          <w:ilvl w:val="0"/>
          <w:numId w:val="1005"/>
        </w:numPr>
      </w:pPr>
      <w:r>
        <w:t xml:space="preserve">Fuel-efficiency improvements</w:t>
      </w:r>
    </w:p>
    <w:p>
      <w:pPr>
        <w:pStyle w:val="Compact"/>
        <w:numPr>
          <w:ilvl w:val="0"/>
          <w:numId w:val="1005"/>
        </w:numPr>
      </w:pPr>
      <w:r>
        <w:t xml:space="preserve">Lower equipment rents</w:t>
      </w:r>
    </w:p>
    <w:p>
      <w:pPr>
        <w:pStyle w:val="Compact"/>
        <w:numPr>
          <w:ilvl w:val="0"/>
          <w:numId w:val="1005"/>
        </w:numPr>
      </w:pPr>
      <w:r>
        <w:t xml:space="preserve">Revised train starts under the company's “PSR 2.0” operating plan</w:t>
      </w:r>
    </w:p>
    <w:p>
      <w:pPr>
        <w:pStyle w:val="FirstParagraph"/>
      </w:pPr>
      <w:r>
        <w:t xml:space="preserve">These initiatives helped hold Q1 adjusted expense growth to only 1% despite management estimating approximately 5% combined inflation and fuel pressure.</w:t>
      </w:r>
    </w:p>
    <w:p>
      <w:pPr>
        <w:pStyle w:val="BodyText"/>
      </w:pPr>
      <w:r>
        <w:t xml:space="preserve">The Q2 report should show whether that cost performance was repeatable when volumes increased.</w:t>
      </w:r>
      <w:r>
        <w:t xml:space="preserve"> </w:t>
      </w:r>
      <w:r>
        <w:rPr>
          <w:b/>
          <w:bCs/>
        </w:rPr>
        <w:t xml:space="preserve">Good incremental margins on higher traffic would validate the operating plan; rising costs in line with or faster than revenue would raise questions about the durability of the productivity program.</w:t>
      </w:r>
    </w:p>
    <w:bookmarkEnd w:id="17"/>
    <w:bookmarkStart w:id="18" w:name="Xb6304df10e75870532b021c83d44e64e798c6e1"/>
    <w:p>
      <w:pPr>
        <w:pStyle w:val="Heading2"/>
      </w:pPr>
      <w:r>
        <w:t xml:space="preserve">4. Full-year cost guidance is at risk from fuel</w:t>
      </w:r>
    </w:p>
    <w:p>
      <w:pPr>
        <w:pStyle w:val="FirstParagraph"/>
      </w:pPr>
      <w:r>
        <w:t xml:space="preserve">NSC maintained its</w:t>
      </w:r>
      <w:r>
        <w:t xml:space="preserve"> </w:t>
      </w:r>
      <m:oMath>
        <m:r>
          <m:t>8.2</m:t>
        </m:r>
        <m:r>
          <m:t>b</m:t>
        </m:r>
        <m:r>
          <m:t>i</m:t>
        </m:r>
        <m:r>
          <m:t>l</m:t>
        </m:r>
        <m:r>
          <m:t>l</m:t>
        </m:r>
        <m:r>
          <m:t>i</m:t>
        </m:r>
        <m:r>
          <m:t>o</m:t>
        </m:r>
        <m:r>
          <m:t>n</m:t>
        </m:r>
        <m:r>
          <m:rPr>
            <m:sty m:val="p"/>
          </m:rPr>
          <m:t>–</m:t>
        </m:r>
      </m:oMath>
      <w:r>
        <w:rPr>
          <w:b/>
          <w:bCs/>
        </w:rPr>
        <w:t xml:space="preserve">8.4 billion 2026 adjusted operating-cost envelope</w:t>
      </w:r>
      <w:r>
        <w:t xml:space="preserve"> </w:t>
      </w:r>
      <w:r>
        <w:t xml:space="preserve">after Q1, but management explicitly acknowledged that elevated fuel prices were pressuring the outlook.</w:t>
      </w:r>
    </w:p>
    <w:p>
      <w:pPr>
        <w:pStyle w:val="BodyText"/>
      </w:pPr>
      <w:r>
        <w:t xml:space="preserve">Fuel remains the largest potential source of guidance volatility. High diesel prices can eventually support domestic intermodal by making rail more competitive with trucking, but the immediate financial effects are mixed:</w:t>
      </w:r>
    </w:p>
    <w:p>
      <w:pPr>
        <w:pStyle w:val="Compact"/>
        <w:numPr>
          <w:ilvl w:val="0"/>
          <w:numId w:val="1006"/>
        </w:numPr>
      </w:pPr>
      <w:r>
        <w:t xml:space="preserve">Higher direct locomotive-fuel expense</w:t>
      </w:r>
    </w:p>
    <w:p>
      <w:pPr>
        <w:pStyle w:val="Compact"/>
        <w:numPr>
          <w:ilvl w:val="0"/>
          <w:numId w:val="1006"/>
        </w:numPr>
      </w:pPr>
      <w:r>
        <w:t xml:space="preserve">A lag before fuel surcharges fully recover the increase</w:t>
      </w:r>
    </w:p>
    <w:p>
      <w:pPr>
        <w:pStyle w:val="Compact"/>
        <w:numPr>
          <w:ilvl w:val="0"/>
          <w:numId w:val="1006"/>
        </w:numPr>
      </w:pPr>
      <w:r>
        <w:t xml:space="preserve">Potentially softer consumer activity</w:t>
      </w:r>
    </w:p>
    <w:p>
      <w:pPr>
        <w:pStyle w:val="Compact"/>
        <w:numPr>
          <w:ilvl w:val="0"/>
          <w:numId w:val="1006"/>
        </w:numPr>
      </w:pPr>
      <w:r>
        <w:t xml:space="preserve">Stronger demand for certain energy-related commodities</w:t>
      </w:r>
    </w:p>
    <w:p>
      <w:pPr>
        <w:pStyle w:val="FirstParagraph"/>
      </w:pPr>
      <w:r>
        <w:t xml:space="preserve">A reaffirmation of the cost range would be constructive. Raising the range because of fuel would not necessarily indicate deterioration in the underlying railroad, but it would reduce confidence in near-term EPS and operating-ratio expectations.</w:t>
      </w:r>
    </w:p>
    <w:bookmarkEnd w:id="18"/>
    <w:bookmarkStart w:id="20" w:name="Xc001a02e84e04da687d4789ec73ee0cb1c7eae4"/>
    <w:p>
      <w:pPr>
        <w:pStyle w:val="Heading2"/>
      </w:pPr>
      <w:r>
        <w:t xml:space="preserve">5. Service needs to remain stable as traffic grows</w:t>
      </w:r>
    </w:p>
    <w:p>
      <w:pPr>
        <w:pStyle w:val="FirstParagraph"/>
      </w:pPr>
      <w:r>
        <w:t xml:space="preserve">The latest weekly disclosure for the period ending July 17 showed:</w:t>
      </w:r>
    </w:p>
    <w:p>
      <w:pPr>
        <w:pStyle w:val="Compact"/>
        <w:numPr>
          <w:ilvl w:val="0"/>
          <w:numId w:val="1007"/>
        </w:numPr>
      </w:pPr>
      <w:r>
        <w:t xml:space="preserve">Average train speed of</w:t>
      </w:r>
      <w:r>
        <w:t xml:space="preserve"> </w:t>
      </w:r>
      <w:r>
        <w:rPr>
          <w:b/>
          <w:bCs/>
        </w:rPr>
        <w:t xml:space="preserve">21.1 mph</w:t>
      </w:r>
    </w:p>
    <w:p>
      <w:pPr>
        <w:pStyle w:val="Compact"/>
        <w:numPr>
          <w:ilvl w:val="0"/>
          <w:numId w:val="1007"/>
        </w:numPr>
      </w:pPr>
      <w:r>
        <w:t xml:space="preserve">Terminal dwell of</w:t>
      </w:r>
      <w:r>
        <w:t xml:space="preserve"> </w:t>
      </w:r>
      <w:r>
        <w:rPr>
          <w:b/>
          <w:bCs/>
        </w:rPr>
        <w:t xml:space="preserve">22.5 hours</w:t>
      </w:r>
    </w:p>
    <w:p>
      <w:pPr>
        <w:pStyle w:val="Compact"/>
        <w:numPr>
          <w:ilvl w:val="0"/>
          <w:numId w:val="1007"/>
        </w:numPr>
      </w:pPr>
      <w:r>
        <w:rPr>
          <w:b/>
          <w:bCs/>
        </w:rPr>
        <w:t xml:space="preserve">162,415</w:t>
      </w:r>
      <w:r>
        <w:t xml:space="preserve"> </w:t>
      </w:r>
      <w:r>
        <w:t xml:space="preserve">cars on line (</w:t>
      </w:r>
      <w:hyperlink r:id="rId19">
        <w:r>
          <w:rPr>
            <w:rStyle w:val="Hyperlink"/>
          </w:rPr>
          <w:t xml:space="preserve">norfolksouthern.investorroom.com</w:t>
        </w:r>
      </w:hyperlink>
      <w:r>
        <w:t xml:space="preserve">)</w:t>
      </w:r>
    </w:p>
    <w:p>
      <w:pPr>
        <w:pStyle w:val="FirstParagraph"/>
      </w:pPr>
      <w:r>
        <w:t xml:space="preserve">The most important issue is not one week's absolute figure but whether management describes service as stable while handling higher volume. Q2's traffic growth provides a useful test of NSC's claim that it has capacity available and can add freight at attractive incremental margins.</w:t>
      </w:r>
    </w:p>
    <w:p>
      <w:pPr>
        <w:pStyle w:val="BodyText"/>
      </w:pPr>
      <w:r>
        <w:t xml:space="preserve">Listen for comments on:</w:t>
      </w:r>
    </w:p>
    <w:p>
      <w:pPr>
        <w:pStyle w:val="Compact"/>
        <w:numPr>
          <w:ilvl w:val="0"/>
          <w:numId w:val="1008"/>
        </w:numPr>
      </w:pPr>
      <w:r>
        <w:t xml:space="preserve">Intermodal trip-plan compliance</w:t>
      </w:r>
    </w:p>
    <w:p>
      <w:pPr>
        <w:pStyle w:val="Compact"/>
        <w:numPr>
          <w:ilvl w:val="0"/>
          <w:numId w:val="1008"/>
        </w:numPr>
      </w:pPr>
      <w:r>
        <w:t xml:space="preserve">Terminal congestion</w:t>
      </w:r>
    </w:p>
    <w:p>
      <w:pPr>
        <w:pStyle w:val="Compact"/>
        <w:numPr>
          <w:ilvl w:val="0"/>
          <w:numId w:val="1008"/>
        </w:numPr>
      </w:pPr>
      <w:r>
        <w:t xml:space="preserve">Locomotive availability</w:t>
      </w:r>
    </w:p>
    <w:p>
      <w:pPr>
        <w:pStyle w:val="Compact"/>
        <w:numPr>
          <w:ilvl w:val="0"/>
          <w:numId w:val="1008"/>
        </w:numPr>
      </w:pPr>
      <w:r>
        <w:t xml:space="preserve">Recrews and crew productivity</w:t>
      </w:r>
    </w:p>
    <w:p>
      <w:pPr>
        <w:pStyle w:val="Compact"/>
        <w:numPr>
          <w:ilvl w:val="0"/>
          <w:numId w:val="1008"/>
        </w:numPr>
      </w:pPr>
      <w:r>
        <w:t xml:space="preserve">Whether the network can handle peak-season traffic without adding disproportionate cost</w:t>
      </w:r>
    </w:p>
    <w:bookmarkEnd w:id="20"/>
    <w:bookmarkStart w:id="24" w:name="X935e066b7cfb54e13854832768771f0d62e1f23"/>
    <w:p>
      <w:pPr>
        <w:pStyle w:val="Heading2"/>
      </w:pPr>
      <w:r>
        <w:t xml:space="preserve">6. The Union Pacific transaction may dominate the call</w:t>
      </w:r>
    </w:p>
    <w:p>
      <w:pPr>
        <w:pStyle w:val="FirstParagraph"/>
      </w:pPr>
      <w:r>
        <w:t xml:space="preserve">Under the merger agreement, each NSC share is entitled to</w:t>
      </w:r>
      <w:r>
        <w:t xml:space="preserve"> </w:t>
      </w:r>
      <w:r>
        <w:rPr>
          <w:b/>
          <w:bCs/>
        </w:rPr>
        <w:t xml:space="preserve">one UNP share plus $88.82 in cash</w:t>
      </w:r>
      <w:r>
        <w:t xml:space="preserve">. Based on UNP's July 22 closing price of</w:t>
      </w:r>
      <w:r>
        <w:t xml:space="preserve"> </w:t>
      </w:r>
      <m:oMath>
        <m:r>
          <m:t>292.60</m:t>
        </m:r>
        <m:r>
          <m:rPr>
            <m:sty m:val="p"/>
          </m:rPr>
          <m:t>,</m:t>
        </m:r>
        <m:r>
          <m:t>t</m:t>
        </m:r>
        <m:r>
          <m:t>h</m:t>
        </m:r>
        <m:r>
          <m:t>e</m:t>
        </m:r>
        <m:r>
          <m:t>i</m:t>
        </m:r>
        <m:r>
          <m:t>m</m:t>
        </m:r>
        <m:r>
          <m:t>p</m:t>
        </m:r>
        <m:r>
          <m:t>l</m:t>
        </m:r>
        <m:r>
          <m:t>i</m:t>
        </m:r>
        <m:r>
          <m:t>e</m:t>
        </m:r>
        <m:r>
          <m:t>d</m:t>
        </m:r>
        <m:r>
          <m:t>c</m:t>
        </m:r>
        <m:r>
          <m:t>o</m:t>
        </m:r>
        <m:r>
          <m:t>n</m:t>
        </m:r>
        <m:r>
          <m:t>s</m:t>
        </m:r>
        <m:r>
          <m:t>i</m:t>
        </m:r>
        <m:r>
          <m:t>d</m:t>
        </m:r>
        <m:r>
          <m:t>e</m:t>
        </m:r>
        <m:r>
          <m:t>r</m:t>
        </m:r>
        <m:r>
          <m:t>a</m:t>
        </m:r>
        <m:r>
          <m:t>t</m:t>
        </m:r>
        <m:r>
          <m:t>i</m:t>
        </m:r>
        <m:r>
          <m:t>o</m:t>
        </m:r>
        <m:r>
          <m:t>n</m:t>
        </m:r>
        <m:r>
          <m:t>w</m:t>
        </m:r>
        <m:r>
          <m:t>a</m:t>
        </m:r>
        <m:r>
          <m:t>s</m:t>
        </m:r>
        <m:r>
          <m:t>a</m:t>
        </m:r>
        <m:r>
          <m:t>p</m:t>
        </m:r>
        <m:r>
          <m:t>p</m:t>
        </m:r>
        <m:r>
          <m:t>r</m:t>
        </m:r>
        <m:r>
          <m:t>o</m:t>
        </m:r>
        <m:r>
          <m:t>x</m:t>
        </m:r>
        <m:r>
          <m:t>i</m:t>
        </m:r>
        <m:r>
          <m:t>m</m:t>
        </m:r>
        <m:r>
          <m:t>a</m:t>
        </m:r>
        <m:r>
          <m:t>t</m:t>
        </m:r>
        <m:r>
          <m:t>e</m:t>
        </m:r>
        <m:r>
          <m:t>l</m:t>
        </m:r>
        <m:r>
          <m:t>y</m:t>
        </m:r>
        <m:r>
          <m:rPr>
            <m:sty m:val="p"/>
          </m:rPr>
          <m:t>*</m:t>
        </m:r>
        <m:r>
          <m:rPr>
            <m:sty m:val="p"/>
          </m:rPr>
          <m:t>*</m:t>
        </m:r>
      </m:oMath>
      <w:r>
        <w:t xml:space="preserve">381.42 per NSC share**, versus NSC's $330.98 closing price—a gross spread of roughly</w:t>
      </w:r>
      <w:r>
        <w:t xml:space="preserve"> </w:t>
      </w:r>
      <w:r>
        <w:rPr>
          <w:b/>
          <w:bCs/>
        </w:rPr>
        <w:t xml:space="preserve">15%</w:t>
      </w:r>
      <w:r>
        <w:t xml:space="preserve">.</w:t>
      </w:r>
    </w:p>
    <w:p>
      <w:pPr>
        <w:pStyle w:val="BodyText"/>
      </w:pPr>
      <w:r>
        <w:t xml:space="preserve">That wide spread reflects substantial regulatory and timing risk.</w:t>
      </w:r>
    </w:p>
    <w:p>
      <w:pPr>
        <w:pStyle w:val="BodyText"/>
      </w:pPr>
      <w:r>
        <w:t xml:space="preserve">The Surface Transportation Board accepted the revised application for consideration on May 28 but placed the proceedings in abeyance and required additional information by</w:t>
      </w:r>
      <w:r>
        <w:t xml:space="preserve"> </w:t>
      </w:r>
      <w:r>
        <w:rPr>
          <w:b/>
          <w:bCs/>
        </w:rPr>
        <w:t xml:space="preserve">July 27, 2026</w:t>
      </w:r>
      <w:r>
        <w:t xml:space="preserve">. (</w:t>
      </w:r>
      <w:hyperlink r:id="rId21">
        <w:r>
          <w:rPr>
            <w:rStyle w:val="Hyperlink"/>
          </w:rPr>
          <w:t xml:space="preserve">stb.gov</w:t>
        </w:r>
      </w:hyperlink>
      <w:r>
        <w:t xml:space="preserve">) The companies submitted the first portion of their response on July 7, with the balance due July 27, and continue to target a mid-2027 completion. (</w:t>
      </w:r>
      <w:hyperlink r:id="rId22">
        <w:r>
          <w:rPr>
            <w:rStyle w:val="Hyperlink"/>
          </w:rPr>
          <w:t xml:space="preserve">investor.unionpacific.com</w:t>
        </w:r>
      </w:hyperlink>
      <w:r>
        <w:t xml:space="preserve">)</w:t>
      </w:r>
    </w:p>
    <w:bookmarkStart w:id="23" w:name="questions-investors-need-answered"/>
    <w:p>
      <w:pPr>
        <w:pStyle w:val="Heading3"/>
      </w:pPr>
      <w:r>
        <w:t xml:space="preserve">Questions investors need answered</w:t>
      </w:r>
    </w:p>
    <w:p>
      <w:pPr>
        <w:pStyle w:val="Compact"/>
        <w:numPr>
          <w:ilvl w:val="0"/>
          <w:numId w:val="1009"/>
        </w:numPr>
      </w:pPr>
      <w:r>
        <w:t xml:space="preserve">Will all remaining supplemental information be filed by July 27?</w:t>
      </w:r>
    </w:p>
    <w:p>
      <w:pPr>
        <w:pStyle w:val="Compact"/>
        <w:numPr>
          <w:ilvl w:val="0"/>
          <w:numId w:val="1009"/>
        </w:numPr>
      </w:pPr>
      <w:r>
        <w:t xml:space="preserve">When does management expect the STB to lift the abeyance?</w:t>
      </w:r>
    </w:p>
    <w:p>
      <w:pPr>
        <w:pStyle w:val="Compact"/>
        <w:numPr>
          <w:ilvl w:val="0"/>
          <w:numId w:val="1009"/>
        </w:numPr>
      </w:pPr>
      <w:r>
        <w:t xml:space="preserve">Does the mid-2027 closing target remain credible?</w:t>
      </w:r>
    </w:p>
    <w:p>
      <w:pPr>
        <w:pStyle w:val="Compact"/>
        <w:numPr>
          <w:ilvl w:val="0"/>
          <w:numId w:val="1009"/>
        </w:numPr>
      </w:pPr>
      <w:r>
        <w:t xml:space="preserve">Have competitive traffic losses increased while the transaction is pending?</w:t>
      </w:r>
    </w:p>
    <w:p>
      <w:pPr>
        <w:pStyle w:val="Compact"/>
        <w:numPr>
          <w:ilvl w:val="0"/>
          <w:numId w:val="1009"/>
        </w:numPr>
      </w:pPr>
      <w:r>
        <w:t xml:space="preserve">Are merger expenses likely to rise from Q1's $52 million?</w:t>
      </w:r>
    </w:p>
    <w:p>
      <w:pPr>
        <w:pStyle w:val="Compact"/>
        <w:numPr>
          <w:ilvl w:val="0"/>
          <w:numId w:val="1009"/>
        </w:numPr>
      </w:pPr>
      <w:r>
        <w:t xml:space="preserve">Would significant divestitures, trackage rights, or other conditions alter the transaction's economics?</w:t>
      </w:r>
    </w:p>
    <w:p>
      <w:pPr>
        <w:pStyle w:val="Compact"/>
        <w:numPr>
          <w:ilvl w:val="0"/>
          <w:numId w:val="1009"/>
        </w:numPr>
      </w:pPr>
      <w:r>
        <w:t xml:space="preserve">How much management attention is being diverted from standalone operations?</w:t>
      </w:r>
    </w:p>
    <w:p>
      <w:pPr>
        <w:pStyle w:val="FirstParagraph"/>
      </w:pPr>
      <w:r>
        <w:t xml:space="preserve">Because the transaction consideration fluctuates directly with UNP's share price, investors should evaluate NSC's post-earnings move alongside UNP—not in isolation.</w:t>
      </w:r>
    </w:p>
    <w:bookmarkEnd w:id="23"/>
    <w:bookmarkEnd w:id="24"/>
    <w:bookmarkStart w:id="28" w:name="potential-outcomes"/>
    <w:p>
      <w:pPr>
        <w:pStyle w:val="Heading2"/>
      </w:pPr>
      <w:r>
        <w:t xml:space="preserve">Potential outcomes</w:t>
      </w:r>
    </w:p>
    <w:bookmarkStart w:id="25" w:name="bullish-report"/>
    <w:p>
      <w:pPr>
        <w:pStyle w:val="Heading3"/>
      </w:pPr>
      <w:r>
        <w:t xml:space="preserve">Bullish report</w:t>
      </w:r>
    </w:p>
    <w:p>
      <w:pPr>
        <w:pStyle w:val="FirstParagraph"/>
      </w:pPr>
      <w:r>
        <w:t xml:space="preserve">A constructive result would include:</w:t>
      </w:r>
    </w:p>
    <w:p>
      <w:pPr>
        <w:pStyle w:val="Compact"/>
        <w:numPr>
          <w:ilvl w:val="0"/>
          <w:numId w:val="1010"/>
        </w:numPr>
      </w:pPr>
      <w:r>
        <w:t xml:space="preserve">Revenue around or above $3.25 billion</w:t>
      </w:r>
    </w:p>
    <w:p>
      <w:pPr>
        <w:pStyle w:val="Compact"/>
        <w:numPr>
          <w:ilvl w:val="0"/>
          <w:numId w:val="1010"/>
        </w:numPr>
      </w:pPr>
      <w:r>
        <w:t xml:space="preserve">Adjusted EPS above the</w:t>
      </w:r>
      <w:r>
        <w:t xml:space="preserve"> </w:t>
      </w:r>
      <m:oMath>
        <m:r>
          <m:t>3.20</m:t>
        </m:r>
        <m:r>
          <m:rPr>
            <m:sty m:val="p"/>
          </m:rPr>
          <m:t>–</m:t>
        </m:r>
      </m:oMath>
      <w:r>
        <w:t xml:space="preserve">3.32 range</w:t>
      </w:r>
    </w:p>
    <w:p>
      <w:pPr>
        <w:pStyle w:val="Compact"/>
        <w:numPr>
          <w:ilvl w:val="0"/>
          <w:numId w:val="1010"/>
        </w:numPr>
      </w:pPr>
      <w:r>
        <w:t xml:space="preserve">Adjusted operating ratio at or below roughly 66.5%</w:t>
      </w:r>
    </w:p>
    <w:p>
      <w:pPr>
        <w:pStyle w:val="Compact"/>
        <w:numPr>
          <w:ilvl w:val="0"/>
          <w:numId w:val="1010"/>
        </w:numPr>
      </w:pPr>
      <w:r>
        <w:t xml:space="preserve">Continued 4%–5% volume growth without service deterioration</w:t>
      </w:r>
    </w:p>
    <w:p>
      <w:pPr>
        <w:pStyle w:val="Compact"/>
        <w:numPr>
          <w:ilvl w:val="0"/>
          <w:numId w:val="1010"/>
        </w:numPr>
      </w:pPr>
      <w:r>
        <w:t xml:space="preserve">Reaffirmed</w:t>
      </w:r>
      <w:r>
        <w:t xml:space="preserve"> </w:t>
      </w:r>
      <m:oMath>
        <m:r>
          <m:t>8.2</m:t>
        </m:r>
        <m:r>
          <m:t>b</m:t>
        </m:r>
        <m:r>
          <m:t>i</m:t>
        </m:r>
        <m:r>
          <m:t>l</m:t>
        </m:r>
        <m:r>
          <m:t>l</m:t>
        </m:r>
        <m:r>
          <m:t>i</m:t>
        </m:r>
        <m:r>
          <m:t>o</m:t>
        </m:r>
        <m:r>
          <m:t>n</m:t>
        </m:r>
        <m:r>
          <m:rPr>
            <m:sty m:val="p"/>
          </m:rPr>
          <m:t>–</m:t>
        </m:r>
      </m:oMath>
      <w:r>
        <w:t xml:space="preserve">8.4 billion cost guidance</w:t>
      </w:r>
    </w:p>
    <w:p>
      <w:pPr>
        <w:pStyle w:val="Compact"/>
        <w:numPr>
          <w:ilvl w:val="0"/>
          <w:numId w:val="1010"/>
        </w:numPr>
      </w:pPr>
      <w:r>
        <w:t xml:space="preserve">Evidence that productivity is offsetting fuel and inflation</w:t>
      </w:r>
    </w:p>
    <w:p>
      <w:pPr>
        <w:pStyle w:val="Compact"/>
        <w:numPr>
          <w:ilvl w:val="0"/>
          <w:numId w:val="1010"/>
        </w:numPr>
      </w:pPr>
      <w:r>
        <w:t xml:space="preserve">Confirmation of the July 27 merger submission and mid-2027 closing objective</w:t>
      </w:r>
    </w:p>
    <w:bookmarkEnd w:id="25"/>
    <w:bookmarkStart w:id="26" w:name="mixed-report"/>
    <w:p>
      <w:pPr>
        <w:pStyle w:val="Heading3"/>
      </w:pPr>
      <w:r>
        <w:t xml:space="preserve">Mixed report</w:t>
      </w:r>
    </w:p>
    <w:p>
      <w:pPr>
        <w:pStyle w:val="FirstParagraph"/>
      </w:pPr>
      <w:r>
        <w:t xml:space="preserve">A result could be numerically acceptable but receive a muted reaction if:</w:t>
      </w:r>
    </w:p>
    <w:p>
      <w:pPr>
        <w:pStyle w:val="Compact"/>
        <w:numPr>
          <w:ilvl w:val="0"/>
          <w:numId w:val="1011"/>
        </w:numPr>
      </w:pPr>
      <w:r>
        <w:t xml:space="preserve">EPS beats primarily through taxes, non-operating items, or share count</w:t>
      </w:r>
    </w:p>
    <w:p>
      <w:pPr>
        <w:pStyle w:val="Compact"/>
        <w:numPr>
          <w:ilvl w:val="0"/>
          <w:numId w:val="1011"/>
        </w:numPr>
      </w:pPr>
      <w:r>
        <w:t xml:space="preserve">Strong volume is offset by unfavorable intermodal or coal mix</w:t>
      </w:r>
    </w:p>
    <w:p>
      <w:pPr>
        <w:pStyle w:val="Compact"/>
        <w:numPr>
          <w:ilvl w:val="0"/>
          <w:numId w:val="1011"/>
        </w:numPr>
      </w:pPr>
      <w:r>
        <w:t xml:space="preserve">Operating ratio is around 66.5%–67%</w:t>
      </w:r>
    </w:p>
    <w:p>
      <w:pPr>
        <w:pStyle w:val="Compact"/>
        <w:numPr>
          <w:ilvl w:val="0"/>
          <w:numId w:val="1011"/>
        </w:numPr>
      </w:pPr>
      <w:r>
        <w:t xml:space="preserve">Management maintains guidance but becomes more cautious about fuel</w:t>
      </w:r>
    </w:p>
    <w:p>
      <w:pPr>
        <w:pStyle w:val="Compact"/>
        <w:numPr>
          <w:ilvl w:val="0"/>
          <w:numId w:val="1011"/>
        </w:numPr>
      </w:pPr>
      <w:r>
        <w:t xml:space="preserve">The merger timetable remains unchanged but no greater regulatory clarity is provided</w:t>
      </w:r>
    </w:p>
    <w:bookmarkEnd w:id="26"/>
    <w:bookmarkStart w:id="27" w:name="bearish-report"/>
    <w:p>
      <w:pPr>
        <w:pStyle w:val="Heading3"/>
      </w:pPr>
      <w:r>
        <w:t xml:space="preserve">Bearish report</w:t>
      </w:r>
    </w:p>
    <w:p>
      <w:pPr>
        <w:pStyle w:val="FirstParagraph"/>
      </w:pPr>
      <w:r>
        <w:t xml:space="preserve">The principal downside risks are:</w:t>
      </w:r>
    </w:p>
    <w:p>
      <w:pPr>
        <w:pStyle w:val="Compact"/>
        <w:numPr>
          <w:ilvl w:val="0"/>
          <w:numId w:val="1012"/>
        </w:numPr>
      </w:pPr>
      <w:r>
        <w:t xml:space="preserve">Operating ratio above 67%</w:t>
      </w:r>
    </w:p>
    <w:p>
      <w:pPr>
        <w:pStyle w:val="Compact"/>
        <w:numPr>
          <w:ilvl w:val="0"/>
          <w:numId w:val="1012"/>
        </w:numPr>
      </w:pPr>
      <w:r>
        <w:t xml:space="preserve">Expenses growing faster than revenue despite higher traffic</w:t>
      </w:r>
    </w:p>
    <w:p>
      <w:pPr>
        <w:pStyle w:val="Compact"/>
        <w:numPr>
          <w:ilvl w:val="0"/>
          <w:numId w:val="1012"/>
        </w:numPr>
      </w:pPr>
      <w:r>
        <w:t xml:space="preserve">A material increase to the cost envelope</w:t>
      </w:r>
    </w:p>
    <w:p>
      <w:pPr>
        <w:pStyle w:val="Compact"/>
        <w:numPr>
          <w:ilvl w:val="0"/>
          <w:numId w:val="1012"/>
        </w:numPr>
      </w:pPr>
      <w:r>
        <w:t xml:space="preserve">Weak merchandise pricing or poor incremental margins</w:t>
      </w:r>
    </w:p>
    <w:p>
      <w:pPr>
        <w:pStyle w:val="Compact"/>
        <w:numPr>
          <w:ilvl w:val="0"/>
          <w:numId w:val="1012"/>
        </w:numPr>
      </w:pPr>
      <w:r>
        <w:t xml:space="preserve">Evidence that merger-related competitive losses are accelerating</w:t>
      </w:r>
    </w:p>
    <w:p>
      <w:pPr>
        <w:pStyle w:val="Compact"/>
        <w:numPr>
          <w:ilvl w:val="0"/>
          <w:numId w:val="1012"/>
        </w:numPr>
      </w:pPr>
      <w:r>
        <w:t xml:space="preserve">Deteriorating intermodal service</w:t>
      </w:r>
    </w:p>
    <w:p>
      <w:pPr>
        <w:pStyle w:val="Compact"/>
        <w:numPr>
          <w:ilvl w:val="0"/>
          <w:numId w:val="1012"/>
        </w:numPr>
      </w:pPr>
      <w:r>
        <w:t xml:space="preserve">A delay in the July 27 supplemental response or a retreat from the mid-2027 closing target</w:t>
      </w:r>
    </w:p>
    <w:bookmarkEnd w:id="27"/>
    <w:bookmarkEnd w:id="28"/>
    <w:bookmarkStart w:id="29" w:name="bottom-line"/>
    <w:p>
      <w:pPr>
        <w:pStyle w:val="Heading2"/>
      </w:pPr>
      <w:r>
        <w:t xml:space="preserve">Bottom line</w:t>
      </w:r>
    </w:p>
    <w:p>
      <w:pPr>
        <w:pStyle w:val="FirstParagraph"/>
      </w:pPr>
      <w:r>
        <w:t xml:space="preserve">The underlying setup is reasonably favorable:</w:t>
      </w:r>
      <w:r>
        <w:t xml:space="preserve"> </w:t>
      </w:r>
      <w:r>
        <w:rPr>
          <w:b/>
          <w:bCs/>
        </w:rPr>
        <w:t xml:space="preserve">Q2 volume accelerated meaningfully, led by intermodal, while merchandise and coal also grew.</w:t>
      </w:r>
      <w:r>
        <w:t xml:space="preserve"> </w:t>
      </w:r>
      <w:r>
        <w:t xml:space="preserve">The challenge is converting that traffic into earnings amid high fuel costs, unfavorable mix, merger-related disruption, and difficult expense comparisons.</w:t>
      </w:r>
    </w:p>
    <w:p>
      <w:pPr>
        <w:pStyle w:val="BodyText"/>
      </w:pPr>
      <w:r>
        <w:t xml:space="preserve">The cleanest standalone indicator will be the</w:t>
      </w:r>
      <w:r>
        <w:t xml:space="preserve"> </w:t>
      </w:r>
      <w:r>
        <w:rPr>
          <w:b/>
          <w:bCs/>
        </w:rPr>
        <w:t xml:space="preserve">adjusted operating ratio relative to the roughly 66.7% implied benchmark</w:t>
      </w:r>
      <w:r>
        <w:t xml:space="preserve">. But for the stock, the most consequential portion of the call may be management's commentary on the STB process. A small EPS beat accompanied by greater merger uncertainty could be poorly received; conversely, an ordinary quarter with reassuring regulatory commentary could support the shares.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investor.unionpacific.com/node/30511/pdf" TargetMode="External" /><Relationship Type="http://schemas.openxmlformats.org/officeDocument/2006/relationships/hyperlink" Id="rId13" Target="https://norfolksouthern.investorroom.com/image/investor-weekly-carloads-june-2026.pdf" TargetMode="External" /><Relationship Type="http://schemas.openxmlformats.org/officeDocument/2006/relationships/hyperlink" Id="rId19" Target="https://norfolksouthern.investorroom.com/weekly-performance-reports" TargetMode="External" /><Relationship Type="http://schemas.openxmlformats.org/officeDocument/2006/relationships/hyperlink" Id="rId11" Target="https://www.benzinga.com/quote/NSC/earnings" TargetMode="External" /><Relationship Type="http://schemas.openxmlformats.org/officeDocument/2006/relationships/hyperlink" Id="rId21" Target="https://www.stb.gov/news-communications/latest-news/pr-26-13/?utm_source=openai" TargetMode="External" /><Relationship Type="http://schemas.openxmlformats.org/officeDocument/2006/relationships/hyperlink" Id="rId9" Target="https://www.tipranks.com/stocks/nsc/earnings" TargetMode="External" /></Relationships>
</file>

<file path=word/_rels/footnotes.xml.rels><?xml version="1.0" encoding="UTF-8"?><Relationships xmlns="http://schemas.openxmlformats.org/package/2006/relationships"><Relationship Type="http://schemas.openxmlformats.org/officeDocument/2006/relationships/hyperlink" Id="rId22" Target="https://investor.unionpacific.com/node/30511/pdf" TargetMode="External" /><Relationship Type="http://schemas.openxmlformats.org/officeDocument/2006/relationships/hyperlink" Id="rId13" Target="https://norfolksouthern.investorroom.com/image/investor-weekly-carloads-june-2026.pdf" TargetMode="External" /><Relationship Type="http://schemas.openxmlformats.org/officeDocument/2006/relationships/hyperlink" Id="rId19" Target="https://norfolksouthern.investorroom.com/weekly-performance-reports" TargetMode="External" /><Relationship Type="http://schemas.openxmlformats.org/officeDocument/2006/relationships/hyperlink" Id="rId11" Target="https://www.benzinga.com/quote/NSC/earnings" TargetMode="External" /><Relationship Type="http://schemas.openxmlformats.org/officeDocument/2006/relationships/hyperlink" Id="rId21" Target="https://www.stb.gov/news-communications/latest-news/pr-26-13/?utm_source=openai" TargetMode="External" /><Relationship Type="http://schemas.openxmlformats.org/officeDocument/2006/relationships/hyperlink" Id="rId9" Target="https://www.tipranks.com/stocks/nsc/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2026-07-23T00:43:39Z</dcterms:created>
  <dcterms:modified xsi:type="dcterms:W3CDTF">2026-07-23T00:43:39Z</dcterms:modified>
</cp:coreProperties>
</file>

<file path=docProps/custom.xml><?xml version="1.0" encoding="utf-8"?>
<Properties xmlns="http://schemas.openxmlformats.org/officeDocument/2006/custom-properties" xmlns:vt="http://schemas.openxmlformats.org/officeDocument/2006/docPropsVTypes"/>
</file>