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sc-earnings-predictions--2026-07-23"/>
    <w:p>
      <w:pPr>
        <w:pStyle w:val="Heading1"/>
      </w:pPr>
      <w:r>
        <w:t xml:space="preserve">NSC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~$3.36 vs. cons $3.30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~$3.20B vs. cons $3.15B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~66.6% vs. cons 66.7%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operating-cost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~$8.30B vs. cons $8.30B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structural productivity savings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~$150M vs. cons $150M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Merger-related competitive revenue headwind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~1.0% of revenue vs. cons 1.0% of revenue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(STABILIZE)</w:t>
            </w:r>
          </w:p>
        </w:tc>
        <w:tc>
          <w:tcPr/>
          <w:p>
            <w:pPr>
              <w:pStyle w:val="Compact"/>
            </w:pPr>
            <w:r>
              <w:t xml:space="preserve">A modest EPS and revenue beat, with OR essentially in line, should support an initial positive reaction; however, unchanged ~</w:t>
            </w:r>
            <m:oMath>
              <m:r>
                <m:t>8.30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c</m:t>
              </m:r>
              <m:r>
                <m:t>o</m:t>
              </m:r>
              <m:r>
                <m:t>s</m:t>
              </m:r>
              <m:r>
                <m:t>t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150M productivity guidance imply limited upward out-period estimate revision after fuel, merger-related leakage, and second-half demand risks are retained.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2026-07-23T00:42:11Z</dcterms:created>
  <dcterms:modified xsi:type="dcterms:W3CDTF">2026-07-23T00:42:11Z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