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97a9692930b7635535585f351eda368b86eebdb"/>
    <w:p>
      <w:pPr>
        <w:pStyle w:val="Heading1"/>
      </w:pPr>
      <w:r>
        <w:t xml:space="preserve">Norfolk Southern (NYSE: NSC) — 2Q26 Earnings Preview</w:t>
      </w:r>
    </w:p>
    <w:p>
      <w:pPr>
        <w:pStyle w:val="BlockText"/>
      </w:pPr>
      <w:r>
        <w:rPr>
          <w:b/>
          <w:bCs/>
        </w:rPr>
        <w:t xml:space="preserve">Timing correction:</w:t>
      </w:r>
      <w:r>
        <w:t xml:space="preserve"> </w:t>
      </w:r>
      <w:r>
        <w:t xml:space="preserve">NSC is scheduled to report</w:t>
      </w:r>
      <w:r>
        <w:t xml:space="preserve"> </w:t>
      </w:r>
      <w:r>
        <w:rPr>
          <w:b/>
          <w:bCs/>
        </w:rPr>
        <w:t xml:space="preserve">today, Thursday, July 23, 2026</w:t>
      </w:r>
      <w:r>
        <w:t xml:space="preserve">, with results released ahead of a</w:t>
      </w:r>
      <w:r>
        <w:t xml:space="preserve"> </w:t>
      </w:r>
      <w:r>
        <w:rPr>
          <w:b/>
          <w:bCs/>
        </w:rPr>
        <w:t xml:space="preserve">10:00 a.m. ET</w:t>
      </w:r>
      <w:r>
        <w:t xml:space="preserve"> </w:t>
      </w:r>
      <w:r>
        <w:t xml:space="preserve">earnings call—not tomorrow. This preview is written for the period immediately preceding that release.</w:t>
      </w:r>
    </w:p>
    <w:bookmarkStart w:id="9" w:name="Xbcf21fc7ad3715930e4d341eb592e4bcf067533"/>
    <w:p>
      <w:pPr>
        <w:pStyle w:val="Heading2"/>
      </w:pPr>
      <w:r>
        <w:t xml:space="preserve">Investment framing: execution is improving, but fuel and the merger dominate the setup</w:t>
      </w:r>
    </w:p>
    <w:p>
      <w:pPr>
        <w:pStyle w:val="FirstParagraph"/>
      </w:pPr>
      <w:r>
        <w:t xml:space="preserve">NSC enters 2Q with better underlying freight momentum than it had in 1Q: management said in May that volumes were running roughly</w:t>
      </w:r>
      <w:r>
        <w:t xml:space="preserve"> </w:t>
      </w:r>
      <w:r>
        <w:rPr>
          <w:b/>
          <w:bCs/>
        </w:rPr>
        <w:t xml:space="preserve">3% higher quarter-to-date</w:t>
      </w:r>
      <w:r>
        <w:t xml:space="preserve">, supported by energy-related chemicals, utility coal, and domestic intermodal. The company also reaffirmed that it expected the normal</w:t>
      </w:r>
      <w:r>
        <w:t xml:space="preserve"> </w:t>
      </w:r>
      <w:r>
        <w:rPr>
          <w:b/>
          <w:bCs/>
        </w:rPr>
        <w:t xml:space="preserve">~200 bp sequential improvement in adjusted operating ratio (OR)</w:t>
      </w:r>
      <w:r>
        <w:t xml:space="preserve"> </w:t>
      </w:r>
      <w:r>
        <w:t xml:space="preserve">from 1Q to 2Q despite a sharp fuel-cost headwind.</w:t>
      </w:r>
    </w:p>
    <w:p>
      <w:pPr>
        <w:pStyle w:val="BodyText"/>
      </w:pPr>
      <w:r>
        <w:t xml:space="preserve">The key question is whether improving volume, pricing, and productivity were enough to offset the lagged effect of higher diesel costs. Management’s prior 2Q framework implied adjusted OR near</w:t>
      </w:r>
      <w:r>
        <w:t xml:space="preserve"> </w:t>
      </w:r>
      <w:r>
        <w:rPr>
          <w:b/>
          <w:bCs/>
        </w:rPr>
        <w:t xml:space="preserve">66.7%</w:t>
      </w:r>
      <w:r>
        <w:t xml:space="preserve">—versus</w:t>
      </w:r>
      <w:r>
        <w:t xml:space="preserve"> </w:t>
      </w:r>
      <w:r>
        <w:rPr>
          <w:b/>
          <w:bCs/>
        </w:rPr>
        <w:t xml:space="preserve">68.7%</w:t>
      </w:r>
      <w:r>
        <w:t xml:space="preserve"> </w:t>
      </w:r>
      <w:r>
        <w:t xml:space="preserve">in 1Q26—assuming it delivered on the stated 200 bp sequential improvement.</w:t>
      </w:r>
    </w:p>
    <w:p>
      <w:pPr>
        <w:pStyle w:val="BodyText"/>
      </w:pPr>
      <w:r>
        <w:t xml:space="preserve">However, NSC is not trading purely on standalone fundamentals. The pending Union Pacific transaction makes the earnings call especially important for commentary on the Surface Transportation Board process, competitive share losses associated with the proposed merger, and the durability of the company’s standalone operating improvement.</w:t>
      </w:r>
    </w:p>
    <w:bookmarkEnd w:id="9"/>
    <w:bookmarkStart w:id="11" w:name="what-matters-most-in-the-quarter"/>
    <w:p>
      <w:pPr>
        <w:pStyle w:val="Heading2"/>
      </w:pPr>
      <w:r>
        <w:t xml:space="preserve">What matters most in the quarter</w:t>
      </w:r>
    </w:p>
    <w:bookmarkStart w:id="10" w:name="Xec4f66299233b9638fd236edd08fcf2e9f8ae15"/>
    <w:p>
      <w:pPr>
        <w:pStyle w:val="Heading3"/>
      </w:pPr>
      <w:r>
        <w:t xml:space="preserve">1. Can NSC deliver the expected sequential margin recovery?</w:t>
      </w:r>
    </w:p>
    <w:p>
      <w:pPr>
        <w:pStyle w:val="FirstParagraph"/>
      </w:pPr>
      <w:r>
        <w:t xml:space="preserve">In 1Q26, NSC reported adjusted EPS of</w:t>
      </w:r>
      <w:r>
        <w:t xml:space="preserve"> </w:t>
      </w:r>
      <w:r>
        <w:rPr>
          <w:b/>
          <w:bCs/>
        </w:rPr>
        <w:t xml:space="preserve">$2.65</w:t>
      </w:r>
      <w:r>
        <w:t xml:space="preserve"> </w:t>
      </w:r>
      <w:r>
        <w:t xml:space="preserve">and adjusted OR of</w:t>
      </w:r>
      <w:r>
        <w:t xml:space="preserve"> </w:t>
      </w:r>
      <w:r>
        <w:rPr>
          <w:b/>
          <w:bCs/>
        </w:rPr>
        <w:t xml:space="preserve">68.7%</w:t>
      </w:r>
      <w:r>
        <w:t xml:space="preserve">, with adjusted operating income down 2% year over year. Management attributed the margin pressure to inflation and fuel, partly offset by productivity and pricing/mix.</w:t>
      </w:r>
    </w:p>
    <w:p>
      <w:pPr>
        <w:pStyle w:val="BodyText"/>
      </w:pPr>
      <w:r>
        <w:t xml:space="preserve">For 2Q, the company guided investors to roughly</w:t>
      </w:r>
      <w:r>
        <w:t xml:space="preserve"> </w:t>
      </w:r>
      <w:r>
        <w:rPr>
          <w:b/>
          <w:bCs/>
        </w:rPr>
        <w:t xml:space="preserve">200 bp</w:t>
      </w:r>
      <w:r>
        <w:t xml:space="preserve"> </w:t>
      </w:r>
      <w:r>
        <w:t xml:space="preserve">of sequential adjusted OR improvement. This is the primary financial benchmark for the print.</w:t>
      </w:r>
    </w:p>
    <w:p>
      <w:pPr>
        <w:pStyle w:val="BodyText"/>
      </w:pPr>
      <w:r>
        <w:rPr>
          <w:b/>
          <w:bCs/>
        </w:rPr>
        <w:t xml:space="preserve">Why it is achievable</w:t>
      </w:r>
    </w:p>
    <w:p>
      <w:pPr>
        <w:pStyle w:val="Compact"/>
        <w:numPr>
          <w:ilvl w:val="0"/>
          <w:numId w:val="1001"/>
        </w:numPr>
      </w:pPr>
      <w:r>
        <w:t xml:space="preserve">Volumes recovered meaningfully after weather-disrupted February freight activity.</w:t>
      </w:r>
    </w:p>
    <w:p>
      <w:pPr>
        <w:pStyle w:val="Compact"/>
        <w:numPr>
          <w:ilvl w:val="0"/>
          <w:numId w:val="1001"/>
        </w:numPr>
      </w:pPr>
      <w:r>
        <w:t xml:space="preserve">Management cited approximately</w:t>
      </w:r>
      <w:r>
        <w:t xml:space="preserve"> </w:t>
      </w:r>
      <m:oMath>
        <m:r>
          <m:t>150</m:t>
        </m:r>
        <m:r>
          <m:t>m</m:t>
        </m:r>
        <m:r>
          <m:t>i</m:t>
        </m:r>
        <m:r>
          <m:t>l</m:t>
        </m:r>
        <m:r>
          <m:t>l</m:t>
        </m:r>
        <m:r>
          <m:t>i</m:t>
        </m:r>
        <m:r>
          <m:t>o</m:t>
        </m:r>
        <m:r>
          <m:t>n</m:t>
        </m:r>
        <m:r>
          <m:rPr>
            <m:sty m:val="p"/>
          </m:rPr>
          <m:t>−</m:t>
        </m:r>
        <m:r>
          <m:t>p</m:t>
        </m:r>
        <m:r>
          <m:t>l</m:t>
        </m:r>
        <m:r>
          <m:t>u</m:t>
        </m:r>
        <m:r>
          <m:t>s</m:t>
        </m:r>
        <m:r>
          <m:rPr>
            <m:sty m:val="p"/>
          </m:rPr>
          <m:t>*</m:t>
        </m:r>
        <m:r>
          <m:rPr>
            <m:sty m:val="p"/>
          </m:rPr>
          <m:t>*</m:t>
        </m:r>
        <m:r>
          <m:t>o</m:t>
        </m:r>
        <m:r>
          <m:t>f</m:t>
        </m:r>
        <m:r>
          <m:t>2026</m:t>
        </m:r>
        <m:r>
          <m:t>p</m:t>
        </m:r>
        <m:r>
          <m:t>r</m:t>
        </m:r>
        <m:r>
          <m:t>o</m:t>
        </m:r>
        <m:r>
          <m:t>d</m:t>
        </m:r>
        <m:r>
          <m:t>u</m:t>
        </m:r>
        <m:r>
          <m:t>c</m:t>
        </m:r>
        <m:r>
          <m:t>t</m:t>
        </m:r>
        <m:r>
          <m:t>i</m:t>
        </m:r>
        <m:r>
          <m:t>v</m:t>
        </m:r>
        <m:r>
          <m:t>i</m:t>
        </m:r>
        <m:r>
          <m:t>t</m:t>
        </m:r>
        <m:r>
          <m:t>y</m:t>
        </m:r>
        <m:r>
          <m:t>i</m:t>
        </m:r>
        <m:r>
          <m:t>n</m:t>
        </m:r>
        <m:r>
          <m:t>i</m:t>
        </m:r>
        <m:r>
          <m:t>t</m:t>
        </m:r>
        <m:r>
          <m:t>i</m:t>
        </m:r>
        <m:r>
          <m:t>a</m:t>
        </m:r>
        <m:r>
          <m:t>t</m:t>
        </m:r>
        <m:r>
          <m:t>i</m:t>
        </m:r>
        <m:r>
          <m:t>v</m:t>
        </m:r>
        <m:r>
          <m:t>e</m:t>
        </m:r>
        <m:r>
          <m:t>s</m:t>
        </m:r>
        <m:r>
          <m:rPr>
            <m:sty m:val="p"/>
          </m:rPr>
          <m:t>,</m:t>
        </m:r>
        <m:r>
          <m:t>o</m:t>
        </m:r>
        <m:r>
          <m:t>n</m:t>
        </m:r>
        <m:r>
          <m:t>t</m:t>
        </m:r>
        <m:r>
          <m:t>o</m:t>
        </m:r>
        <m:r>
          <m:t>p</m:t>
        </m:r>
        <m:r>
          <m:t>o</m:t>
        </m:r>
        <m:r>
          <m:t>f</m:t>
        </m:r>
        <m:r>
          <m:t>m</m:t>
        </m:r>
        <m:r>
          <m:t>o</m:t>
        </m:r>
        <m:r>
          <m:t>r</m:t>
        </m:r>
        <m:r>
          <m:t>e</m:t>
        </m:r>
        <m:r>
          <m:t>t</m:t>
        </m:r>
        <m:r>
          <m:t>h</m:t>
        </m:r>
        <m:r>
          <m:t>a</m:t>
        </m:r>
        <m:r>
          <m:t>n</m:t>
        </m:r>
        <m:r>
          <m:rPr>
            <m:sty m:val="p"/>
          </m:rPr>
          <m:t>*</m:t>
        </m:r>
        <m:r>
          <m:rPr>
            <m:sty m:val="p"/>
          </m:rPr>
          <m:t>*</m:t>
        </m:r>
      </m:oMath>
      <w:r>
        <w:rPr>
          <w:b/>
          <w:bCs/>
        </w:rPr>
        <w:t xml:space="preserve">500 million</w:t>
      </w:r>
      <w:r>
        <w:t xml:space="preserve"> </w:t>
      </w:r>
      <w:r>
        <w:t xml:space="preserve">delivered over the prior two years.</w:t>
      </w:r>
    </w:p>
    <w:p>
      <w:pPr>
        <w:pStyle w:val="Compact"/>
        <w:numPr>
          <w:ilvl w:val="0"/>
          <w:numId w:val="1001"/>
        </w:numPr>
      </w:pPr>
      <w:r>
        <w:t xml:space="preserve">The railroad entered the quarter with capacity, available locomotives, improved crew productivity, and a better service foundation.</w:t>
      </w:r>
    </w:p>
    <w:p>
      <w:pPr>
        <w:pStyle w:val="Compact"/>
        <w:numPr>
          <w:ilvl w:val="0"/>
          <w:numId w:val="1001"/>
        </w:numPr>
      </w:pPr>
      <w:r>
        <w:t xml:space="preserve">2Q historically benefits from normalizing weather, greater volumes, and lower seasonal compensation costs.</w:t>
      </w:r>
    </w:p>
    <w:p>
      <w:pPr>
        <w:pStyle w:val="FirstParagraph"/>
      </w:pPr>
      <w:r>
        <w:rPr>
          <w:b/>
          <w:bCs/>
        </w:rPr>
        <w:t xml:space="preserve">Why it is not straightforward</w:t>
      </w:r>
    </w:p>
    <w:p>
      <w:pPr>
        <w:pStyle w:val="Compact"/>
        <w:numPr>
          <w:ilvl w:val="0"/>
          <w:numId w:val="1002"/>
        </w:numPr>
      </w:pPr>
      <w:r>
        <w:t xml:space="preserve">Fuel prices rose sharply: management said the price paid per gallon was up roughly</w:t>
      </w:r>
      <w:r>
        <w:t xml:space="preserve"> </w:t>
      </w:r>
      <w:r>
        <w:rPr>
          <w:b/>
          <w:bCs/>
        </w:rPr>
        <w:t xml:space="preserve">45% year over year in March</w:t>
      </w:r>
      <w:r>
        <w:t xml:space="preserve"> </w:t>
      </w:r>
      <w:r>
        <w:t xml:space="preserve">and</w:t>
      </w:r>
      <w:r>
        <w:t xml:space="preserve"> </w:t>
      </w:r>
      <w:r>
        <w:rPr>
          <w:b/>
          <w:bCs/>
        </w:rPr>
        <w:t xml:space="preserve">80% in April</w:t>
      </w:r>
      <w:r>
        <w:t xml:space="preserve">.</w:t>
      </w:r>
    </w:p>
    <w:p>
      <w:pPr>
        <w:pStyle w:val="Compact"/>
        <w:numPr>
          <w:ilvl w:val="0"/>
          <w:numId w:val="1002"/>
        </w:numPr>
      </w:pPr>
      <w:r>
        <w:t xml:space="preserve">Most merchandise and coal fuel surcharges carry roughly a two-month lag, meaning fuel costs can hit expense before surcharge revenue fully catches up.</w:t>
      </w:r>
    </w:p>
    <w:p>
      <w:pPr>
        <w:pStyle w:val="Compact"/>
        <w:numPr>
          <w:ilvl w:val="0"/>
          <w:numId w:val="1002"/>
        </w:numPr>
      </w:pPr>
      <w:r>
        <w:t xml:space="preserve">NSC faces ongoing merger-related competitive pressure, principally in domestic intermodal. Management quantified the expected 2026 revenue effect at approximately</w:t>
      </w:r>
      <w:r>
        <w:t xml:space="preserve"> </w:t>
      </w:r>
      <w:r>
        <w:rPr>
          <w:b/>
          <w:bCs/>
        </w:rPr>
        <w:t xml:space="preserve">1% of company revenue</w:t>
      </w:r>
      <w:r>
        <w:t xml:space="preserve">.</w:t>
      </w:r>
    </w:p>
    <w:p>
      <w:pPr>
        <w:pStyle w:val="FirstParagraph"/>
      </w:pPr>
      <w:r>
        <w:t xml:space="preserve">A result around the guided sequential OR improvement would validate management’s cost-control narrative. A meaningful shortfall would likely be viewed as evidence that fuel, service recovery, competitive dynamics, or inflation are overwhelming the productivity program.</w:t>
      </w:r>
    </w:p>
    <w:bookmarkEnd w:id="10"/>
    <w:bookmarkEnd w:id="11"/>
    <w:bookmarkStart w:id="15" w:name="freight-outlook-by-business-line"/>
    <w:p>
      <w:pPr>
        <w:pStyle w:val="Heading2"/>
      </w:pPr>
      <w:r>
        <w:t xml:space="preserve">Freight outlook by business line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Segment</w:t>
            </w:r>
          </w:p>
        </w:tc>
        <w:tc>
          <w:tcPr/>
          <w:p>
            <w:pPr>
              <w:pStyle w:val="Compact"/>
              <w:jc w:val="right"/>
            </w:pPr>
            <w:r>
              <w:t xml:space="preserve">1Q26 performance</w:t>
            </w:r>
          </w:p>
        </w:tc>
        <w:tc>
          <w:tcPr/>
          <w:p>
            <w:pPr>
              <w:pStyle w:val="Compact"/>
            </w:pPr>
            <w:r>
              <w:t xml:space="preserve">2Q setup</w:t>
            </w:r>
          </w:p>
        </w:tc>
        <w:tc>
          <w:tcPr/>
          <w:p>
            <w:pPr>
              <w:pStyle w:val="Compact"/>
            </w:pPr>
            <w:r>
              <w:t xml:space="preserve">What investors should watch</w:t>
            </w:r>
          </w:p>
        </w:tc>
      </w:tr>
      <w:tr>
        <w:tc>
          <w:tcPr/>
          <w:p>
            <w:pPr>
              <w:pStyle w:val="Compact"/>
            </w:pPr>
            <w:r>
              <w:rPr>
                <w:b/>
                <w:bCs/>
              </w:rPr>
              <w:t xml:space="preserve">Merchandise</w:t>
            </w:r>
          </w:p>
        </w:tc>
        <w:tc>
          <w:tcPr/>
          <w:p>
            <w:pPr>
              <w:pStyle w:val="Compact"/>
              <w:jc w:val="right"/>
            </w:pPr>
            <w:r>
              <w:t xml:space="preserve">Revenue +1%; volume +1%</w:t>
            </w:r>
          </w:p>
        </w:tc>
        <w:tc>
          <w:tcPr/>
          <w:p>
            <w:pPr>
              <w:pStyle w:val="Compact"/>
            </w:pPr>
            <w:r>
              <w:t xml:space="preserve">Constructive</w:t>
            </w:r>
          </w:p>
        </w:tc>
        <w:tc>
          <w:tcPr/>
          <w:p>
            <w:pPr>
              <w:pStyle w:val="Compact"/>
            </w:pPr>
            <w:r>
              <w:t xml:space="preserve">Chemicals and auto are the most important contributors; core pricing versus mix is key.</w:t>
            </w:r>
          </w:p>
        </w:tc>
      </w:tr>
      <w:tr>
        <w:tc>
          <w:tcPr/>
          <w:p>
            <w:pPr>
              <w:pStyle w:val="Compact"/>
            </w:pPr>
            <w:r>
              <w:rPr>
                <w:b/>
                <w:bCs/>
              </w:rPr>
              <w:t xml:space="preserve">Intermodal</w:t>
            </w:r>
          </w:p>
        </w:tc>
        <w:tc>
          <w:tcPr/>
          <w:p>
            <w:pPr>
              <w:pStyle w:val="Compact"/>
              <w:jc w:val="right"/>
            </w:pPr>
            <w:r>
              <w:t xml:space="preserve">Revenue -1%; volume -4%</w:t>
            </w:r>
          </w:p>
        </w:tc>
        <w:tc>
          <w:tcPr/>
          <w:p>
            <w:pPr>
              <w:pStyle w:val="Compact"/>
            </w:pPr>
            <w:r>
              <w:t xml:space="preserve">Mixed-to-improving</w:t>
            </w:r>
          </w:p>
        </w:tc>
        <w:tc>
          <w:tcPr/>
          <w:p>
            <w:pPr>
              <w:pStyle w:val="Compact"/>
            </w:pPr>
            <w:r>
              <w:t xml:space="preserve">Domestic intermodal was improving, while international remained weak due to trade and tariff-related comparisons.</w:t>
            </w:r>
          </w:p>
        </w:tc>
      </w:tr>
      <w:tr>
        <w:tc>
          <w:tcPr/>
          <w:p>
            <w:pPr>
              <w:pStyle w:val="Compact"/>
            </w:pPr>
            <w:r>
              <w:rPr>
                <w:b/>
                <w:bCs/>
              </w:rPr>
              <w:t xml:space="preserve">Coal</w:t>
            </w:r>
          </w:p>
        </w:tc>
        <w:tc>
          <w:tcPr/>
          <w:p>
            <w:pPr>
              <w:pStyle w:val="Compact"/>
              <w:jc w:val="right"/>
            </w:pPr>
            <w:r>
              <w:t xml:space="preserve">Volume +9%; revenue -2%</w:t>
            </w:r>
          </w:p>
        </w:tc>
        <w:tc>
          <w:tcPr/>
          <w:p>
            <w:pPr>
              <w:pStyle w:val="Compact"/>
            </w:pPr>
            <w:r>
              <w:t xml:space="preserve">Strong volumes, weak pricing/mix risk</w:t>
            </w:r>
          </w:p>
        </w:tc>
        <w:tc>
          <w:tcPr/>
          <w:p>
            <w:pPr>
              <w:pStyle w:val="Compact"/>
            </w:pPr>
            <w:r>
              <w:t xml:space="preserve">Utility coal and export trends should support loads; RPU recovery is needed for earnings leverage.</w:t>
            </w:r>
          </w:p>
        </w:tc>
      </w:tr>
      <w:tr>
        <w:tc>
          <w:tcPr/>
          <w:p>
            <w:pPr>
              <w:pStyle w:val="Compact"/>
            </w:pPr>
            <w:r>
              <w:rPr>
                <w:b/>
                <w:bCs/>
              </w:rPr>
              <w:t xml:space="preserve">Fuel surcharge</w:t>
            </w:r>
          </w:p>
        </w:tc>
        <w:tc>
          <w:tcPr/>
          <w:p>
            <w:pPr>
              <w:pStyle w:val="Compact"/>
              <w:jc w:val="right"/>
            </w:pPr>
            <w:r>
              <w:t xml:space="preserve">$210M in 1Q</w:t>
            </w:r>
          </w:p>
        </w:tc>
        <w:tc>
          <w:tcPr/>
          <w:p>
            <w:pPr>
              <w:pStyle w:val="Compact"/>
            </w:pPr>
            <w:r>
              <w:t xml:space="preserve">Material sequential tailwind to revenue, but lagged</w:t>
            </w:r>
          </w:p>
        </w:tc>
        <w:tc>
          <w:tcPr/>
          <w:p>
            <w:pPr>
              <w:pStyle w:val="Compact"/>
            </w:pPr>
            <w:r>
              <w:t xml:space="preserve">Investors should separate reported revenue lift from underlying price/volume performance.</w:t>
            </w:r>
          </w:p>
        </w:tc>
      </w:tr>
    </w:tbl>
    <w:bookmarkStart w:id="12" w:name="X625b88388a916876c147324a9e09bc0be6c3827"/>
    <w:p>
      <w:pPr>
        <w:pStyle w:val="Heading3"/>
      </w:pPr>
      <w:r>
        <w:t xml:space="preserve">Chemicals and industrial freight: the cleanest volume tailwind</w:t>
      </w:r>
    </w:p>
    <w:p>
      <w:pPr>
        <w:pStyle w:val="FirstParagraph"/>
      </w:pPr>
      <w:r>
        <w:t xml:space="preserve">Chemicals was the standout in 1Q, with revenue up</w:t>
      </w:r>
      <w:r>
        <w:t xml:space="preserve"> </w:t>
      </w:r>
      <w:r>
        <w:rPr>
          <w:b/>
          <w:bCs/>
        </w:rPr>
        <w:t xml:space="preserve">6%</w:t>
      </w:r>
      <w:r>
        <w:t xml:space="preserve"> </w:t>
      </w:r>
      <w:r>
        <w:t xml:space="preserve">and volume up</w:t>
      </w:r>
      <w:r>
        <w:t xml:space="preserve"> </w:t>
      </w:r>
      <w:r>
        <w:rPr>
          <w:b/>
          <w:bCs/>
        </w:rPr>
        <w:t xml:space="preserve">7%</w:t>
      </w:r>
      <w:r>
        <w:t xml:space="preserve">. The drivers—natural-gas liquids, inorganic chemicals, crude oil, frac sand, and petroleum-related shipments—were directly tied to energy activity and elevated fuel prices.</w:t>
      </w:r>
    </w:p>
    <w:p>
      <w:pPr>
        <w:pStyle w:val="BodyText"/>
      </w:pPr>
      <w:r>
        <w:t xml:space="preserve">At May conferences, management said those markets were tracking better than expected and cited an industrial-development pipeline beginning to convert into actual traffic. This matters because NSC has described the productivity program as largely structural; incremental merchandise volume should therefore carry attractive margins if service remains stable.</w:t>
      </w:r>
    </w:p>
    <w:p>
      <w:pPr>
        <w:pStyle w:val="BodyText"/>
      </w:pPr>
      <w:r>
        <w:t xml:space="preserve">The caveat is sustainability. Energy-related traffic is cyclical, and a rapid normalization in fuel markets could reduce both the chemical tailwind and the modal-conversion opportunity in intermodal.</w:t>
      </w:r>
    </w:p>
    <w:bookmarkEnd w:id="12"/>
    <w:bookmarkStart w:id="13" w:name="X5242da7b99aca96c37b4f36f695a28421b8c8ea"/>
    <w:p>
      <w:pPr>
        <w:pStyle w:val="Heading3"/>
      </w:pPr>
      <w:r>
        <w:t xml:space="preserve">Intermodal: domestic is improving; international remains the weak point</w:t>
      </w:r>
    </w:p>
    <w:p>
      <w:pPr>
        <w:pStyle w:val="FirstParagraph"/>
      </w:pPr>
      <w:r>
        <w:t xml:space="preserve">Intermodal is the most important segment to monitor because it is both strategically central and exposed to merger-related competitive responses.</w:t>
      </w:r>
    </w:p>
    <w:p>
      <w:pPr>
        <w:pStyle w:val="BodyText"/>
      </w:pPr>
      <w:r>
        <w:t xml:space="preserve">In 1Q:</w:t>
      </w:r>
    </w:p>
    <w:p>
      <w:pPr>
        <w:pStyle w:val="Compact"/>
        <w:numPr>
          <w:ilvl w:val="0"/>
          <w:numId w:val="1003"/>
        </w:numPr>
      </w:pPr>
      <w:r>
        <w:t xml:space="preserve">Domestic units declined only</w:t>
      </w:r>
      <w:r>
        <w:t xml:space="preserve"> </w:t>
      </w:r>
      <w:r>
        <w:rPr>
          <w:b/>
          <w:bCs/>
        </w:rPr>
        <w:t xml:space="preserve">1%</w:t>
      </w:r>
      <w:r>
        <w:t xml:space="preserve">.</w:t>
      </w:r>
    </w:p>
    <w:p>
      <w:pPr>
        <w:pStyle w:val="Compact"/>
        <w:numPr>
          <w:ilvl w:val="0"/>
          <w:numId w:val="1003"/>
        </w:numPr>
      </w:pPr>
      <w:r>
        <w:t xml:space="preserve">International units fell</w:t>
      </w:r>
      <w:r>
        <w:t xml:space="preserve"> </w:t>
      </w:r>
      <w:r>
        <w:rPr>
          <w:b/>
          <w:bCs/>
        </w:rPr>
        <w:t xml:space="preserve">9%</w:t>
      </w:r>
      <w:r>
        <w:t xml:space="preserve">, reflecting difficult prior-year comparisons from tariff-related freight pull-forwards.</w:t>
      </w:r>
    </w:p>
    <w:p>
      <w:pPr>
        <w:pStyle w:val="Compact"/>
        <w:numPr>
          <w:ilvl w:val="0"/>
          <w:numId w:val="1003"/>
        </w:numPr>
      </w:pPr>
      <w:r>
        <w:t xml:space="preserve">Total intermodal volume declined</w:t>
      </w:r>
      <w:r>
        <w:t xml:space="preserve"> </w:t>
      </w:r>
      <w:r>
        <w:rPr>
          <w:b/>
          <w:bCs/>
        </w:rPr>
        <w:t xml:space="preserve">4%</w:t>
      </w:r>
      <w:r>
        <w:t xml:space="preserve">.</w:t>
      </w:r>
    </w:p>
    <w:p>
      <w:pPr>
        <w:pStyle w:val="FirstParagraph"/>
      </w:pPr>
      <w:r>
        <w:t xml:space="preserve">Management subsequently characterized domestic intermodal as better than expected, aided by higher truck rates, tighter trucking capacity, and elevated diesel prices. It also argued that NSC’s service product and network position can support truck-to-rail conversions.</w:t>
      </w:r>
    </w:p>
    <w:p>
      <w:pPr>
        <w:pStyle w:val="BodyText"/>
      </w:pPr>
      <w:r>
        <w:t xml:space="preserve">The issue is whether that favorable macro setup is translating into enough</w:t>
      </w:r>
      <w:r>
        <w:t xml:space="preserve"> </w:t>
      </w:r>
      <w:r>
        <w:rPr>
          <w:b/>
          <w:bCs/>
        </w:rPr>
        <w:t xml:space="preserve">net</w:t>
      </w:r>
      <w:r>
        <w:t xml:space="preserve"> </w:t>
      </w:r>
      <w:r>
        <w:t xml:space="preserve">domestic intermodal growth to overcome lost business from competing rail alliances. Investors should focus less on total intermodal revenue—which will be affected by fuel surcharge timing—and more on domestic unit growth, underlying RPU ex-fuel, service metrics, and commentary on retained versus lost share.</w:t>
      </w:r>
    </w:p>
    <w:bookmarkEnd w:id="13"/>
    <w:bookmarkStart w:id="14" w:name="X1c67468af5418585d23f064131b23b120e4daa0"/>
    <w:p>
      <w:pPr>
        <w:pStyle w:val="Heading3"/>
      </w:pPr>
      <w:r>
        <w:t xml:space="preserve">Coal: volume is working; yield remains the swing factor</w:t>
      </w:r>
    </w:p>
    <w:p>
      <w:pPr>
        <w:pStyle w:val="FirstParagraph"/>
      </w:pPr>
      <w:r>
        <w:t xml:space="preserve">Coal had the strongest volume profile in 1Q: utility tonnage rose</w:t>
      </w:r>
      <w:r>
        <w:t xml:space="preserve"> </w:t>
      </w:r>
      <w:r>
        <w:rPr>
          <w:b/>
          <w:bCs/>
        </w:rPr>
        <w:t xml:space="preserve">27%</w:t>
      </w:r>
      <w:r>
        <w:t xml:space="preserve">, helping total coal volume rise</w:t>
      </w:r>
      <w:r>
        <w:t xml:space="preserve"> </w:t>
      </w:r>
      <w:r>
        <w:rPr>
          <w:b/>
          <w:bCs/>
        </w:rPr>
        <w:t xml:space="preserve">9%</w:t>
      </w:r>
      <w:r>
        <w:t xml:space="preserve">. Utility demand benefited from higher electricity usage, natural-gas prices, and customer inventory rebuilding. Management said in May that utility coal continued to run strongly into 2Q and that certain plants were operating longer than previously expected.</w:t>
      </w:r>
    </w:p>
    <w:p>
      <w:pPr>
        <w:pStyle w:val="BodyText"/>
      </w:pPr>
      <w:r>
        <w:t xml:space="preserve">But 1Q coal revenue still fell</w:t>
      </w:r>
      <w:r>
        <w:t xml:space="preserve"> </w:t>
      </w:r>
      <w:r>
        <w:rPr>
          <w:b/>
          <w:bCs/>
        </w:rPr>
        <w:t xml:space="preserve">2%</w:t>
      </w:r>
      <w:r>
        <w:t xml:space="preserve">, because coal RPU declined</w:t>
      </w:r>
      <w:r>
        <w:t xml:space="preserve"> </w:t>
      </w:r>
      <w:r>
        <w:rPr>
          <w:b/>
          <w:bCs/>
        </w:rPr>
        <w:t xml:space="preserve">9%</w:t>
      </w:r>
      <w:r>
        <w:t xml:space="preserve"> </w:t>
      </w:r>
      <w:r>
        <w:t xml:space="preserve">amid lower pricing and an unfavorable utility-heavy mix. Therefore, a good 2Q coal volume number alone may not translate proportionately into earnings upside.</w:t>
      </w:r>
    </w:p>
    <w:p>
      <w:pPr>
        <w:pStyle w:val="BodyText"/>
      </w:pPr>
      <w:r>
        <w:t xml:space="preserve">The favorable scenario is:</w:t>
      </w:r>
    </w:p>
    <w:p>
      <w:pPr>
        <w:pStyle w:val="Compact"/>
        <w:numPr>
          <w:ilvl w:val="0"/>
          <w:numId w:val="1004"/>
        </w:numPr>
      </w:pPr>
      <w:r>
        <w:t xml:space="preserve">Continued utility-stockpile replenishment,</w:t>
      </w:r>
    </w:p>
    <w:p>
      <w:pPr>
        <w:pStyle w:val="Compact"/>
        <w:numPr>
          <w:ilvl w:val="0"/>
          <w:numId w:val="1004"/>
        </w:numPr>
      </w:pPr>
      <w:r>
        <w:t xml:space="preserve">Better export thermal demand,</w:t>
      </w:r>
    </w:p>
    <w:p>
      <w:pPr>
        <w:pStyle w:val="Compact"/>
        <w:numPr>
          <w:ilvl w:val="0"/>
          <w:numId w:val="1004"/>
        </w:numPr>
      </w:pPr>
      <w:r>
        <w:t xml:space="preserve">Stabilizing met and export benchmarks, and</w:t>
      </w:r>
    </w:p>
    <w:p>
      <w:pPr>
        <w:pStyle w:val="Compact"/>
        <w:numPr>
          <w:ilvl w:val="0"/>
          <w:numId w:val="1004"/>
        </w:numPr>
      </w:pPr>
      <w:r>
        <w:t xml:space="preserve">An improving coal revenue-per-unit trend.</w:t>
      </w:r>
    </w:p>
    <w:p>
      <w:pPr>
        <w:pStyle w:val="FirstParagraph"/>
      </w:pPr>
      <w:r>
        <w:t xml:space="preserve">The negative scenario is that lower-yield utility coal continues to dominate the mix, keeping revenue conversion weak despite robust loads.</w:t>
      </w:r>
    </w:p>
    <w:bookmarkEnd w:id="14"/>
    <w:bookmarkEnd w:id="15"/>
    <w:bookmarkStart w:id="16" w:name="Xc5f7ba1b415f8a1665388f0d8e0612f1d6fd015"/>
    <w:p>
      <w:pPr>
        <w:pStyle w:val="Heading2"/>
      </w:pPr>
      <w:r>
        <w:t xml:space="preserve">Cost, fuel, and productivity: the core earnings debate</w:t>
      </w:r>
    </w:p>
    <w:p>
      <w:pPr>
        <w:pStyle w:val="FirstParagraph"/>
      </w:pPr>
      <w:r>
        <w:t xml:space="preserve">NSC held 1Q adjusted operating expense growth to</w:t>
      </w:r>
      <w:r>
        <w:t xml:space="preserve"> </w:t>
      </w:r>
      <w:r>
        <w:rPr>
          <w:b/>
          <w:bCs/>
        </w:rPr>
        <w:t xml:space="preserve">1%</w:t>
      </w:r>
      <w:r>
        <w:t xml:space="preserve">, despite management estimating roughly</w:t>
      </w:r>
      <w:r>
        <w:t xml:space="preserve"> </w:t>
      </w:r>
      <w:r>
        <w:rPr>
          <w:b/>
          <w:bCs/>
        </w:rPr>
        <w:t xml:space="preserve">5%</w:t>
      </w:r>
      <w:r>
        <w:t xml:space="preserve"> </w:t>
      </w:r>
      <w:r>
        <w:t xml:space="preserve">pressure from inflation and fuel. That result reflected labor productivity, fuel-efficiency gains, lower claims expense, and a more efficient operating plan.</w:t>
      </w:r>
    </w:p>
    <w:p>
      <w:pPr>
        <w:pStyle w:val="BodyText"/>
      </w:pPr>
      <w:r>
        <w:t xml:space="preserve">For 2Q, investors should look for confirmation that:</w:t>
      </w:r>
    </w:p>
    <w:p>
      <w:pPr>
        <w:numPr>
          <w:ilvl w:val="0"/>
          <w:numId w:val="1005"/>
        </w:numPr>
      </w:pPr>
      <w:r>
        <w:rPr>
          <w:b/>
          <w:bCs/>
        </w:rPr>
        <w:t xml:space="preserve">The</w:t>
      </w:r>
      <w:r>
        <w:rPr>
          <w:b/>
          <w:bCs/>
        </w:rPr>
        <w:t xml:space="preserve"> </w:t>
      </w:r>
      <m:oMath>
        <m:r>
          <m:t>8.2</m:t>
        </m:r>
        <m:r>
          <m:t>b</m:t>
        </m:r>
        <m:r>
          <m:t>i</m:t>
        </m:r>
        <m:r>
          <m:t>l</m:t>
        </m:r>
        <m:r>
          <m:t>l</m:t>
        </m:r>
        <m:r>
          <m:t>i</m:t>
        </m:r>
        <m:r>
          <m:t>o</m:t>
        </m:r>
        <m:r>
          <m:t>n</m:t>
        </m:r>
        <m:r>
          <m:rPr>
            <m:sty m:val="p"/>
          </m:rPr>
          <m:t>–</m:t>
        </m:r>
      </m:oMath>
      <w:r>
        <w:rPr>
          <w:b/>
          <w:bCs/>
        </w:rPr>
        <w:t xml:space="preserve">8.4 billion adjusted 2026 operating-cost envelope remains intact.</w:t>
      </w:r>
      <w:r>
        <w:br/>
      </w:r>
      <w:r>
        <w:t xml:space="preserve">Management maintained the range in April but flagged fuel as the principal wildcard.</w:t>
      </w:r>
    </w:p>
    <w:p>
      <w:pPr>
        <w:numPr>
          <w:ilvl w:val="0"/>
          <w:numId w:val="1005"/>
        </w:numPr>
      </w:pPr>
      <w:r>
        <w:rPr>
          <w:b/>
          <w:bCs/>
        </w:rPr>
        <w:t xml:space="preserve">Fuel efficiency continues to offset part of the price pressure.</w:t>
      </w:r>
      <w:r>
        <w:br/>
      </w:r>
      <w:r>
        <w:t xml:space="preserve">NSC reported record 1Q fuel efficiency and has emphasized locomotive modernization, energy management, and train productivity as multi-year cost levers.</w:t>
      </w:r>
    </w:p>
    <w:p>
      <w:pPr>
        <w:numPr>
          <w:ilvl w:val="0"/>
          <w:numId w:val="1005"/>
        </w:numPr>
      </w:pPr>
      <w:r>
        <w:rPr>
          <w:b/>
          <w:bCs/>
        </w:rPr>
        <w:t xml:space="preserve">Labor productivity is holding even as freight grows.</w:t>
      </w:r>
      <w:r>
        <w:br/>
      </w:r>
      <w:r>
        <w:t xml:space="preserve">Average rail headcount was down approximately 320 year over year in 1Q. Management indicated it expected headcount to remain broadly stable from the reduced 1Q level while selectively hiring for attrition and crew-base needs.</w:t>
      </w:r>
    </w:p>
    <w:p>
      <w:pPr>
        <w:numPr>
          <w:ilvl w:val="0"/>
          <w:numId w:val="1005"/>
        </w:numPr>
      </w:pPr>
      <w:r>
        <w:rPr>
          <w:b/>
          <w:bCs/>
        </w:rPr>
        <w:t xml:space="preserve">Purchased services and rents do not reaccelerate.</w:t>
      </w:r>
      <w:r>
        <w:br/>
      </w:r>
      <w:r>
        <w:t xml:space="preserve">These expenses rose in 1Q due to weather, technology costs, and higher equipment-related expense. A cleaner 2Q cost profile would reinforce the operating leverage thesis.</w:t>
      </w:r>
    </w:p>
    <w:bookmarkEnd w:id="16"/>
    <w:bookmarkStart w:id="17" w:name="X0e359a9584590c50fbd8d036698a3458481eaa9"/>
    <w:p>
      <w:pPr>
        <w:pStyle w:val="Heading2"/>
      </w:pPr>
      <w:r>
        <w:t xml:space="preserve">The merger remains the largest stock-specific catalyst</w:t>
      </w:r>
    </w:p>
    <w:p>
      <w:pPr>
        <w:pStyle w:val="FirstParagraph"/>
      </w:pPr>
      <w:r>
        <w:t xml:space="preserve">NSC’s agreement with Union Pacific calls for NSC holders to receive</w:t>
      </w:r>
      <w:r>
        <w:t xml:space="preserve"> </w:t>
      </w:r>
      <w:r>
        <w:rPr>
          <w:b/>
          <w:bCs/>
        </w:rPr>
        <w:t xml:space="preserve">one UNP share plus</w:t>
      </w:r>
      <w:r>
        <w:rPr>
          <w:b/>
          <w:bCs/>
        </w:rPr>
        <w:t xml:space="preserve"> </w:t>
      </w:r>
      <m:oMath>
        <m:r>
          <m:t>88.82</m:t>
        </m:r>
        <m:r>
          <m:t>i</m:t>
        </m:r>
        <m:r>
          <m:t>n</m:t>
        </m:r>
        <m:r>
          <m:t>c</m:t>
        </m:r>
        <m:r>
          <m:t>a</m:t>
        </m:r>
        <m:r>
          <m:t>s</m:t>
        </m:r>
        <m:r>
          <m:t>h</m:t>
        </m:r>
        <m:r>
          <m:rPr>
            <m:sty m:val="p"/>
          </m:rPr>
          <m:t>*</m:t>
        </m:r>
        <m:r>
          <m:rPr>
            <m:sty m:val="p"/>
          </m:rPr>
          <m:t>*</m:t>
        </m:r>
        <m:r>
          <m:t>p</m:t>
        </m:r>
        <m:r>
          <m:t>e</m:t>
        </m:r>
        <m:r>
          <m:t>r</m:t>
        </m:r>
        <m:r>
          <m:t>N</m:t>
        </m:r>
        <m:r>
          <m:t>S</m:t>
        </m:r>
        <m:r>
          <m:t>C</m:t>
        </m:r>
        <m:r>
          <m:t>s</m:t>
        </m:r>
        <m:r>
          <m:t>h</m:t>
        </m:r>
        <m:r>
          <m:t>a</m:t>
        </m:r>
        <m:r>
          <m:t>r</m:t>
        </m:r>
        <m:r>
          <m:t>e</m:t>
        </m:r>
        <m:r>
          <m:rPr>
            <m:sty m:val="p"/>
          </m:rPr>
          <m:t>,</m:t>
        </m:r>
        <m:r>
          <m:t>s</m:t>
        </m:r>
        <m:r>
          <m:t>u</m:t>
        </m:r>
        <m:r>
          <m:t>b</m:t>
        </m:r>
        <m:r>
          <m:t>j</m:t>
        </m:r>
        <m:r>
          <m:t>e</m:t>
        </m:r>
        <m:r>
          <m:t>c</m:t>
        </m:r>
        <m:r>
          <m:t>t</m:t>
        </m:r>
        <m:r>
          <m:t>t</m:t>
        </m:r>
        <m:r>
          <m:t>o</m:t>
        </m:r>
        <m:r>
          <m:t>r</m:t>
        </m:r>
        <m:r>
          <m:t>e</m:t>
        </m:r>
        <m:r>
          <m:t>g</m:t>
        </m:r>
        <m:r>
          <m:t>u</m:t>
        </m:r>
        <m:r>
          <m:t>l</m:t>
        </m:r>
        <m:r>
          <m:t>a</m:t>
        </m:r>
        <m:r>
          <m:t>t</m:t>
        </m:r>
        <m:r>
          <m:t>o</m:t>
        </m:r>
        <m:r>
          <m:t>r</m:t>
        </m:r>
        <m:r>
          <m:t>y</m:t>
        </m:r>
        <m:r>
          <m:t>a</m:t>
        </m:r>
        <m:r>
          <m:t>p</m:t>
        </m:r>
        <m:r>
          <m:t>p</m:t>
        </m:r>
        <m:r>
          <m:t>r</m:t>
        </m:r>
        <m:r>
          <m:t>o</m:t>
        </m:r>
        <m:r>
          <m:t>v</m:t>
        </m:r>
        <m:r>
          <m:t>a</m:t>
        </m:r>
        <m:r>
          <m:t>l</m:t>
        </m:r>
        <m:r>
          <m:rPr>
            <m:sty m:val="p"/>
          </m:rPr>
          <m:t>.</m:t>
        </m:r>
        <m:r>
          <m:t>U</m:t>
        </m:r>
        <m:r>
          <m:t>s</m:t>
        </m:r>
        <m:r>
          <m:t>i</m:t>
        </m:r>
        <m:r>
          <m:t>n</m:t>
        </m:r>
        <m:r>
          <m:t>g</m:t>
        </m:r>
        <m:r>
          <m:t>J</m:t>
        </m:r>
        <m:r>
          <m:t>u</m:t>
        </m:r>
        <m:r>
          <m:t>l</m:t>
        </m:r>
        <m:r>
          <m:t>y</m:t>
        </m:r>
        <m:r>
          <m:t>22</m:t>
        </m:r>
        <m:r>
          <m:t>c</m:t>
        </m:r>
        <m:r>
          <m:t>l</m:t>
        </m:r>
        <m:r>
          <m:t>o</m:t>
        </m:r>
        <m:r>
          <m:t>s</m:t>
        </m:r>
        <m:r>
          <m:t>i</m:t>
        </m:r>
        <m:r>
          <m:t>n</m:t>
        </m:r>
        <m:r>
          <m:t>g</m:t>
        </m:r>
        <m:r>
          <m:t>p</m:t>
        </m:r>
        <m:r>
          <m:t>r</m:t>
        </m:r>
        <m:r>
          <m:t>i</m:t>
        </m:r>
        <m:r>
          <m:t>c</m:t>
        </m:r>
        <m:r>
          <m:t>e</m:t>
        </m:r>
        <m:r>
          <m:t>s</m:t>
        </m:r>
        <m:r>
          <m:rPr>
            <m:sty m:val="p"/>
          </m:rPr>
          <m:t>,</m:t>
        </m:r>
        <m:r>
          <m:t>t</m:t>
        </m:r>
        <m:r>
          <m:t>h</m:t>
        </m:r>
        <m:r>
          <m:t>a</m:t>
        </m:r>
        <m:r>
          <m:t>t</m:t>
        </m:r>
        <m:r>
          <m:t>c</m:t>
        </m:r>
        <m:r>
          <m:t>o</m:t>
        </m:r>
        <m:r>
          <m:t>n</m:t>
        </m:r>
        <m:r>
          <m:t>s</m:t>
        </m:r>
        <m:r>
          <m:t>i</m:t>
        </m:r>
        <m:r>
          <m:t>d</m:t>
        </m:r>
        <m:r>
          <m:t>e</m:t>
        </m:r>
        <m:r>
          <m:t>r</m:t>
        </m:r>
        <m:r>
          <m:t>a</m:t>
        </m:r>
        <m:r>
          <m:t>t</m:t>
        </m:r>
        <m:r>
          <m:t>i</m:t>
        </m:r>
        <m:r>
          <m:t>o</m:t>
        </m:r>
        <m:r>
          <m:t>n</m:t>
        </m:r>
        <m:r>
          <m:t>i</m:t>
        </m:r>
        <m:r>
          <m:t>m</m:t>
        </m:r>
        <m:r>
          <m:t>p</m:t>
        </m:r>
        <m:r>
          <m:t>l</m:t>
        </m:r>
        <m:r>
          <m:t>i</m:t>
        </m:r>
        <m:r>
          <m:t>e</m:t>
        </m:r>
        <m:r>
          <m:t>d</m:t>
        </m:r>
        <m:r>
          <m:t>r</m:t>
        </m:r>
        <m:r>
          <m:t>o</m:t>
        </m:r>
        <m:r>
          <m:t>u</m:t>
        </m:r>
        <m:r>
          <m:t>g</m:t>
        </m:r>
        <m:r>
          <m:t>h</m:t>
        </m:r>
        <m:r>
          <m:t>l</m:t>
        </m:r>
        <m:r>
          <m:t>y</m:t>
        </m:r>
        <m:r>
          <m:rPr>
            <m:sty m:val="p"/>
          </m:rPr>
          <m:t>*</m:t>
        </m:r>
        <m:r>
          <m:rPr>
            <m:sty m:val="p"/>
          </m:rPr>
          <m:t>*</m:t>
        </m:r>
      </m:oMath>
      <w:r>
        <w:rPr>
          <w:b/>
          <w:bCs/>
        </w:rPr>
        <w:t xml:space="preserve">381.42 per NSC share</w:t>
      </w:r>
      <w:r>
        <w:t xml:space="preserve">, compared with NSC’s $330.98 close—a gross spread of about</w:t>
      </w:r>
      <w:r>
        <w:t xml:space="preserve"> </w:t>
      </w:r>
      <w:r>
        <w:rPr>
          <w:b/>
          <w:bCs/>
        </w:rPr>
        <w:t xml:space="preserve">15.2%</w:t>
      </w:r>
      <w:r>
        <w:t xml:space="preserve">, before accounting for deal timing, regulatory risk, dividends, or changes in UNP’s share price.</w:t>
      </w:r>
    </w:p>
    <w:p>
      <w:pPr>
        <w:pStyle w:val="BodyText"/>
      </w:pPr>
      <w:r>
        <w:t xml:space="preserve">The company refiled its Surface Transportation Board application in late April after enhancing the submission with a fuller traffic dataset and revised modeling. In its latest management commentary reviewed for this preview, NSC expected the STB process to establish a more definitive schedule once the application was deemed complete; management had framed a potential decision as occurring in the latter part of the first half of 2027.</w:t>
      </w:r>
    </w:p>
    <w:p>
      <w:pPr>
        <w:pStyle w:val="BodyText"/>
      </w:pPr>
      <w:r>
        <w:rPr>
          <w:b/>
          <w:bCs/>
        </w:rPr>
        <w:t xml:space="preserve">Key call question:</w:t>
      </w:r>
      <w:r>
        <w:t xml:space="preserve"> </w:t>
      </w:r>
      <w:r>
        <w:t xml:space="preserve">Has the STB formally accepted the revised application and published a procedural timetable? If not, what is the latest expected path and timing?</w:t>
      </w:r>
    </w:p>
    <w:p>
      <w:pPr>
        <w:pStyle w:val="BodyText"/>
      </w:pPr>
      <w:r>
        <w:t xml:space="preserve">This update could matter more to the stock than a modest earnings beat or miss. The transaction is also already affecting the standalone business: NSC has acknowledged that competitive responses, particularly in domestic intermodal, create a roughly 1% 2026 revenue headwind.</w:t>
      </w:r>
    </w:p>
    <w:bookmarkEnd w:id="17"/>
    <w:bookmarkStart w:id="18" w:name="what-would-constitute-a-bullish-print"/>
    <w:p>
      <w:pPr>
        <w:pStyle w:val="Heading2"/>
      </w:pPr>
      <w:r>
        <w:t xml:space="preserve">What would constitute a bullish print?</w:t>
      </w:r>
    </w:p>
    <w:p>
      <w:pPr>
        <w:pStyle w:val="Compact"/>
        <w:numPr>
          <w:ilvl w:val="0"/>
          <w:numId w:val="1006"/>
        </w:numPr>
      </w:pPr>
      <w:r>
        <w:t xml:space="preserve">Adjusted OR improves by about</w:t>
      </w:r>
      <w:r>
        <w:t xml:space="preserve"> </w:t>
      </w:r>
      <w:r>
        <w:rPr>
          <w:b/>
          <w:bCs/>
        </w:rPr>
        <w:t xml:space="preserve">200 bp sequentially</w:t>
      </w:r>
      <w:r>
        <w:t xml:space="preserve"> </w:t>
      </w:r>
      <w:r>
        <w:t xml:space="preserve">to roughly</w:t>
      </w:r>
      <w:r>
        <w:t xml:space="preserve"> </w:t>
      </w:r>
      <w:r>
        <w:rPr>
          <w:b/>
          <w:bCs/>
        </w:rPr>
        <w:t xml:space="preserve">66.7%</w:t>
      </w:r>
      <w:r>
        <w:t xml:space="preserve"> </w:t>
      </w:r>
      <w:r>
        <w:t xml:space="preserve">or better.</w:t>
      </w:r>
    </w:p>
    <w:p>
      <w:pPr>
        <w:pStyle w:val="Compact"/>
        <w:numPr>
          <w:ilvl w:val="0"/>
          <w:numId w:val="1006"/>
        </w:numPr>
      </w:pPr>
      <w:r>
        <w:t xml:space="preserve">Domestic intermodal growth accelerates enough to demonstrate genuine highway-share conversion despite merger-related losses.</w:t>
      </w:r>
    </w:p>
    <w:p>
      <w:pPr>
        <w:pStyle w:val="Compact"/>
        <w:numPr>
          <w:ilvl w:val="0"/>
          <w:numId w:val="1006"/>
        </w:numPr>
      </w:pPr>
      <w:r>
        <w:t xml:space="preserve">Chemicals and utility coal remain strong, while coal yield stabilizes.</w:t>
      </w:r>
    </w:p>
    <w:p>
      <w:pPr>
        <w:pStyle w:val="Compact"/>
        <w:numPr>
          <w:ilvl w:val="0"/>
          <w:numId w:val="1006"/>
        </w:numPr>
      </w:pPr>
      <w:r>
        <w:t xml:space="preserve">Management maintains the</w:t>
      </w:r>
      <w:r>
        <w:t xml:space="preserve"> </w:t>
      </w:r>
      <m:oMath>
        <m:r>
          <m:t>8.2</m:t>
        </m:r>
        <m:r>
          <m:t>b</m:t>
        </m:r>
        <m:r>
          <m:t>i</m:t>
        </m:r>
        <m:r>
          <m:t>l</m:t>
        </m:r>
        <m:r>
          <m:t>l</m:t>
        </m:r>
        <m:r>
          <m:t>i</m:t>
        </m:r>
        <m:r>
          <m:t>o</m:t>
        </m:r>
        <m:r>
          <m:t>n</m:t>
        </m:r>
        <m:r>
          <m:rPr>
            <m:sty m:val="p"/>
          </m:rPr>
          <m:t>–</m:t>
        </m:r>
      </m:oMath>
      <w:r>
        <w:rPr>
          <w:b/>
          <w:bCs/>
        </w:rPr>
        <w:t xml:space="preserve">8.4 billion</w:t>
      </w:r>
      <w:r>
        <w:t xml:space="preserve"> </w:t>
      </w:r>
      <w:r>
        <w:t xml:space="preserve">adjusted cost framework.</w:t>
      </w:r>
    </w:p>
    <w:p>
      <w:pPr>
        <w:pStyle w:val="Compact"/>
        <w:numPr>
          <w:ilvl w:val="0"/>
          <w:numId w:val="1006"/>
        </w:numPr>
      </w:pPr>
      <w:r>
        <w:t xml:space="preserve">Fuel-surcharge catch-up supports 2Q revenue without an adverse 2H fuel outlook.</w:t>
      </w:r>
    </w:p>
    <w:p>
      <w:pPr>
        <w:pStyle w:val="Compact"/>
        <w:numPr>
          <w:ilvl w:val="0"/>
          <w:numId w:val="1006"/>
        </w:numPr>
      </w:pPr>
      <w:r>
        <w:t xml:space="preserve">The STB process has advanced cleanly, with a defined timetable and no new regulatory complication.</w:t>
      </w:r>
    </w:p>
    <w:p>
      <w:pPr>
        <w:pStyle w:val="Compact"/>
        <w:numPr>
          <w:ilvl w:val="0"/>
          <w:numId w:val="1006"/>
        </w:numPr>
      </w:pPr>
      <w:r>
        <w:t xml:space="preserve">Management speaks more constructively about full-year margin progression.</w:t>
      </w:r>
    </w:p>
    <w:bookmarkEnd w:id="18"/>
    <w:bookmarkStart w:id="19" w:name="what-would-constitute-a-bearish-print"/>
    <w:p>
      <w:pPr>
        <w:pStyle w:val="Heading2"/>
      </w:pPr>
      <w:r>
        <w:t xml:space="preserve">What would constitute a bearish print?</w:t>
      </w:r>
    </w:p>
    <w:p>
      <w:pPr>
        <w:pStyle w:val="Compact"/>
        <w:numPr>
          <w:ilvl w:val="0"/>
          <w:numId w:val="1007"/>
        </w:numPr>
      </w:pPr>
      <w:r>
        <w:t xml:space="preserve">OR misses the expected sequential improvement because diesel costs, service issues, or expense inflation exceed productivity gains.</w:t>
      </w:r>
    </w:p>
    <w:p>
      <w:pPr>
        <w:pStyle w:val="Compact"/>
        <w:numPr>
          <w:ilvl w:val="0"/>
          <w:numId w:val="1007"/>
        </w:numPr>
      </w:pPr>
      <w:r>
        <w:t xml:space="preserve">Domestic intermodal does not translate favorable trucking economics into share gains.</w:t>
      </w:r>
    </w:p>
    <w:p>
      <w:pPr>
        <w:pStyle w:val="Compact"/>
        <w:numPr>
          <w:ilvl w:val="0"/>
          <w:numId w:val="1007"/>
        </w:numPr>
      </w:pPr>
      <w:r>
        <w:t xml:space="preserve">International intermodal weakness worsens, or competitive losses broaden beyond the previously identified areas.</w:t>
      </w:r>
    </w:p>
    <w:p>
      <w:pPr>
        <w:pStyle w:val="Compact"/>
        <w:numPr>
          <w:ilvl w:val="0"/>
          <w:numId w:val="1007"/>
        </w:numPr>
      </w:pPr>
      <w:r>
        <w:t xml:space="preserve">Utility coal volume remains high but mix and pricing keep coal revenue and earnings weak.</w:t>
      </w:r>
    </w:p>
    <w:p>
      <w:pPr>
        <w:pStyle w:val="Compact"/>
        <w:numPr>
          <w:ilvl w:val="0"/>
          <w:numId w:val="1007"/>
        </w:numPr>
      </w:pPr>
      <w:r>
        <w:t xml:space="preserve">NSC narrows, raises, or otherwise qualifies its cost outlook due to fuel.</w:t>
      </w:r>
    </w:p>
    <w:p>
      <w:pPr>
        <w:pStyle w:val="Compact"/>
        <w:numPr>
          <w:ilvl w:val="0"/>
          <w:numId w:val="1007"/>
        </w:numPr>
      </w:pPr>
      <w:r>
        <w:t xml:space="preserve">Merger-related costs rise materially, competitive dis-synergies worsen, or the STB timeline becomes less certain.</w:t>
      </w:r>
    </w:p>
    <w:bookmarkEnd w:id="19"/>
    <w:bookmarkStart w:id="20" w:name="bottom-line"/>
    <w:p>
      <w:pPr>
        <w:pStyle w:val="Heading2"/>
      </w:pPr>
      <w:r>
        <w:t xml:space="preserve">Bottom line</w:t>
      </w:r>
    </w:p>
    <w:p>
      <w:pPr>
        <w:pStyle w:val="FirstParagraph"/>
      </w:pPr>
      <w:r>
        <w:t xml:space="preserve">NSC’s 2Q setup is operationally better than the 1Q headline suggests: volume momentum improved after winter disruptions, domestic intermodal has a more favorable truck-rate backdrop, energy-related chemicals are growing, utility coal is robust, and management’s productivity program appears to be delivering.</w:t>
      </w:r>
    </w:p>
    <w:p>
      <w:pPr>
        <w:pStyle w:val="BodyText"/>
      </w:pPr>
      <w:r>
        <w:t xml:space="preserve">The near-term test is whether those positives can overcome unusually high fuel costs and produce the promised step-down in OR. The longer-term—and likely more important—question is whether the merger process remains on a credible regulatory track without causing greater standalone revenue leakage.</w:t>
      </w:r>
    </w:p>
    <w:p>
      <w:pPr>
        <w:pStyle w:val="BodyText"/>
      </w:pPr>
      <w:r>
        <w:rPr>
          <w:b/>
          <w:bCs/>
        </w:rPr>
        <w:t xml:space="preserve">For the earnings call, prioritize:</w:t>
      </w:r>
      <w:r>
        <w:t xml:space="preserve"> </w:t>
      </w:r>
      <w:r>
        <w:t xml:space="preserve">adjusted OR versus the ~200 bp sequential-improvement framework; domestic intermodal and international trade trends; coal revenue per unit; full-year cost guidance; and any concrete STB-process update.</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2026-07-23T00:42:11Z</dcterms:created>
  <dcterms:modified xsi:type="dcterms:W3CDTF">2026-07-23T00:42:11Z</dcterms:modified>
</cp:coreProperties>
</file>

<file path=docProps/custom.xml><?xml version="1.0" encoding="utf-8"?>
<Properties xmlns="http://schemas.openxmlformats.org/officeDocument/2006/custom-properties" xmlns:vt="http://schemas.openxmlformats.org/officeDocument/2006/docPropsVTypes"/>
</file>