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Norfolk Southern Corporation (NSC) — Q2 2026 Earnings Preview</w:t>
      </w:r>
    </w:p>
    <w:p>
      <w:r>
        <w:rPr>
          <w:rFonts w:ascii="Calibri" w:hAnsi="Calibri"/>
          <w:b/>
          <w:color w:val="525866"/>
          <w:sz w:val="22"/>
        </w:rPr>
        <w:t xml:space="preserve">Earnings Date: </w:t>
      </w:r>
      <w:r>
        <w:rPr>
          <w:rFonts w:ascii="Calibri" w:hAnsi="Calibri"/>
          <w:color w:val="525866"/>
          <w:sz w:val="22"/>
        </w:rPr>
        <w:t xml:space="preserve">July 23, 2026   </w:t>
      </w:r>
      <w:r>
        <w:rPr>
          <w:rFonts w:ascii="Calibri" w:hAnsi="Calibri"/>
          <w:b/>
          <w:color w:val="525866"/>
          <w:sz w:val="22"/>
        </w:rPr>
        <w:t xml:space="preserve">Prepared: </w:t>
      </w:r>
      <w:r>
        <w:rPr>
          <w:rFonts w:ascii="Calibri" w:hAnsi="Calibri"/>
          <w:color w:val="525866"/>
          <w:sz w:val="22"/>
        </w:rPr>
        <w:t xml:space="preserve">July 22, 2026   </w:t>
      </w:r>
      <w:r>
        <w:rPr>
          <w:rFonts w:ascii="Calibri" w:hAnsi="Calibri"/>
          <w:b/>
          <w:color w:val="525866"/>
          <w:sz w:val="22"/>
        </w:rPr>
        <w:t xml:space="preserve">Reporting Period: </w:t>
      </w:r>
      <w:r>
        <w:rPr>
          <w:rFonts w:ascii="Calibri" w:hAnsi="Calibri"/>
          <w:color w:val="525866"/>
          <w:sz w:val="22"/>
        </w:rPr>
        <w:t>Q2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is cautiously constructive — consensus is a manageable bar with Q2 adjusted OR guided to ~66.7% (200 bps sequential improvement from Q1's 68.7%), but the single biggest swing factor is whether fuel cost headwinds and the $35M land-sale comp absence are already fully priced into the street's numbers, or whether volume upside from domestic intermodal and coal can offset them.</w:t>
      </w:r>
    </w:p>
    <w:p>
      <w:r>
        <w:rPr>
          <w:rFonts w:ascii="Calibri" w:hAnsi="Calibri"/>
          <w:color w:val="525866"/>
          <w:sz w:val="22"/>
        </w:rPr>
        <w:t xml:space="preserve">Heading into Q2 2026, the bar for NSC is achievable but not easy: management guided explicitly for ~200 bps of sequential OR improvement off Q1's 68.7% adjusted OR, implying a Q2 adjusted OR of roughly 66.7%, which sits modestly above the current consensus of 66.3%. </w:t>
      </w:r>
      <w:r>
        <w:rPr>
          <w:rFonts w:ascii="Calibri" w:hAnsi="Calibri"/>
          <w:color w:val="525866"/>
          <w:sz w:val="22"/>
        </w:rPr>
        <w:t xml:space="preserve">Revenue consensus has moved up meaningfully since the Q1 print — from $3.21B at the post-earnings baseline to $3.35B currently — reflecting growing optimism on domestic intermodal (truck rates rising, fuel prices supporting modal conversion) and coal (utility demand, export thermal upside from the Iran conflict), though the $35M land-sale comp absence and ongoing merger-related competitive losses remain known headwinds. </w:t>
      </w:r>
      <w:r>
        <w:rPr>
          <w:rFonts w:ascii="Calibri" w:hAnsi="Calibri"/>
          <w:color w:val="525866"/>
          <w:sz w:val="22"/>
        </w:rPr>
        <w:t xml:space="preserve">Estimate trajectory has been positive: both EPS and revenue estimates have drifted higher since the April 24 print, with Q2 EPS consensus now at $3.29 vs. $3.10 at the post-earnings baseline, suggesting the street has grown more constructive on the top line even as fuel remains a wildcard. </w:t>
      </w:r>
      <w:r>
        <w:rPr>
          <w:rFonts w:ascii="Calibri" w:hAnsi="Calibri"/>
          <w:color w:val="525866"/>
          <w:sz w:val="22"/>
        </w:rPr>
        <w:t xml:space="preserve">The stock has lagged both IYT (+8.1%) and the S&amp;P 500 (+4.7%) since the Q1 print, gaining only ~3.5%, which means NSC has not priced in a beat — the multiple remains compressed by merger overhang and revenue uncertainty, leaving room for a positive re-rating if volumes surprise. </w:t>
      </w:r>
      <w:r>
        <w:rPr>
          <w:rFonts w:ascii="Calibri" w:hAnsi="Calibri"/>
          <w:color w:val="525866"/>
          <w:sz w:val="22"/>
        </w:rPr>
        <w:t>The key wildcard is the STB completeness decision on the Union Pacific merger application (deadline was technically May 29, now awaited): any definitive procedural schedule from the STB could be a significant catalyst in either direction, independent of the fundamental print.</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moderate bar — revenue at $3.35B implies ~8% YoY growth vs. Q2 2025's $3.11B, a meaningful step-up that requires domestic intermodal and merchandise to deliver. </w:t>
      </w:r>
      <w:r>
        <w:rPr>
          <w:rFonts w:ascii="Calibri" w:hAnsi="Calibri"/>
          <w:color w:val="525866"/>
          <w:sz w:val="22"/>
        </w:rPr>
        <w:t>Operating Ratio is the bigger swing factor: the 66.3% consensus is slightly better than management's guided ~66.7%, meaning any fuel cost surprise or volume shortfall could push OR above consensus and disappoint.</w:t>
      </w:r>
    </w:p>
    <w:p>
      <w:pPr>
        <w:pStyle w:val="Heading3"/>
      </w:pPr>
      <w:r>
        <w:rPr>
          <w:rFonts w:ascii="Calibri" w:hAnsi="Calibri"/>
          <w:b/>
          <w:color w:val="3B4259"/>
          <w:sz w:val="24"/>
        </w:rPr>
        <w:t>Table 1 — Q2 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 (Last Qtr)</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(Q1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$2.998B</w:t>
            </w:r>
          </w:p>
        </w:tc>
        <w:tc>
          <w:tcPr>
            <w:tcW w:type="dxa" w:w="1234"/>
          </w:tcPr>
          <w:p>
            <w:r>
              <w:rPr>
                <w:rFonts w:ascii="Calibri" w:hAnsi="Calibri"/>
                <w:sz w:val="22"/>
              </w:rPr>
              <w:t>$3.110B</w:t>
            </w:r>
          </w:p>
        </w:tc>
        <w:tc>
          <w:tcPr>
            <w:tcW w:type="dxa" w:w="1234"/>
          </w:tcPr>
          <w:p>
            <w:r>
              <w:rPr>
                <w:rFonts w:ascii="Calibri" w:hAnsi="Calibri"/>
                <w:sz w:val="22"/>
              </w:rPr>
              <w:t>$3.351B</w:t>
            </w:r>
          </w:p>
        </w:tc>
        <w:tc>
          <w:tcPr>
            <w:tcW w:type="dxa" w:w="1234"/>
          </w:tcPr>
          <w:p>
            <w:r>
              <w:rPr>
                <w:rFonts w:ascii="Calibri" w:hAnsi="Calibri"/>
                <w:b/>
                <w:color w:val="30A46C"/>
                <w:sz w:val="22"/>
              </w:rPr>
              <w:t>+7.8%</w:t>
            </w:r>
          </w:p>
        </w:tc>
        <w:tc>
          <w:tcPr>
            <w:tcW w:type="dxa" w:w="1234"/>
          </w:tcPr>
          <w:p>
            <w:r>
              <w:rPr>
                <w:rFonts w:ascii="Calibri" w:hAnsi="Calibri"/>
                <w:sz w:val="22"/>
              </w:rPr>
              <w:t>Uptick from Q1; no specific range given</w:t>
            </w:r>
          </w:p>
        </w:tc>
        <w:tc>
          <w:tcPr>
            <w:tcW w:type="dxa" w:w="1234"/>
          </w:tcPr>
          <w:p>
            <w:r>
              <w:rPr>
                <w:rFonts w:ascii="Calibri" w:hAnsi="Calibri"/>
                <w:sz w:val="22"/>
              </w:rPr>
              <w:t>N/A (no range)</w:t>
            </w:r>
          </w:p>
        </w:tc>
      </w:tr>
      <w:tr>
        <w:tc>
          <w:tcPr>
            <w:tcW w:type="dxa" w:w="1234"/>
          </w:tcPr>
          <w:p>
            <w:r>
              <w:rPr>
                <w:rFonts w:ascii="Calibri" w:hAnsi="Calibri"/>
                <w:sz w:val="22"/>
              </w:rPr>
              <w:t>Adj. Operating Ratio (%)</w:t>
            </w:r>
          </w:p>
        </w:tc>
        <w:tc>
          <w:tcPr>
            <w:tcW w:type="dxa" w:w="1234"/>
          </w:tcPr>
          <w:p>
            <w:r>
              <w:rPr>
                <w:rFonts w:ascii="Calibri" w:hAnsi="Calibri"/>
                <w:sz w:val="22"/>
              </w:rPr>
              <w:t>68.7%</w:t>
            </w:r>
          </w:p>
        </w:tc>
        <w:tc>
          <w:tcPr>
            <w:tcW w:type="dxa" w:w="1234"/>
          </w:tcPr>
          <w:p>
            <w:r>
              <w:rPr>
                <w:rFonts w:ascii="Calibri" w:hAnsi="Calibri"/>
                <w:sz w:val="22"/>
              </w:rPr>
              <w:t>63.4%</w:t>
            </w:r>
          </w:p>
        </w:tc>
        <w:tc>
          <w:tcPr>
            <w:tcW w:type="dxa" w:w="1234"/>
          </w:tcPr>
          <w:p>
            <w:r>
              <w:rPr>
                <w:rFonts w:ascii="Calibri" w:hAnsi="Calibri"/>
                <w:sz w:val="22"/>
              </w:rPr>
              <w:t>66.3%</w:t>
            </w:r>
          </w:p>
        </w:tc>
        <w:tc>
          <w:tcPr>
            <w:tcW w:type="dxa" w:w="1234"/>
          </w:tcPr>
          <w:p>
            <w:r>
              <w:rPr>
                <w:rFonts w:ascii="Calibri" w:hAnsi="Calibri"/>
                <w:b/>
                <w:color w:val="E5484D"/>
                <w:sz w:val="22"/>
              </w:rPr>
              <w:t>+290 bps YoY</w:t>
            </w:r>
          </w:p>
        </w:tc>
        <w:tc>
          <w:tcPr>
            <w:tcW w:type="dxa" w:w="1234"/>
          </w:tcPr>
          <w:p>
            <w:r>
              <w:rPr>
                <w:rFonts w:ascii="Calibri" w:hAnsi="Calibri"/>
                <w:sz w:val="22"/>
              </w:rPr>
              <w:t>~66.7% (200 bps sequential improvement from Q1)</w:t>
            </w:r>
          </w:p>
        </w:tc>
        <w:tc>
          <w:tcPr>
            <w:tcW w:type="dxa" w:w="1234"/>
          </w:tcPr>
          <w:p>
            <w:r>
              <w:rPr>
                <w:rFonts w:ascii="Calibri" w:hAnsi="Calibri"/>
                <w:sz w:val="22"/>
              </w:rPr>
              <w:t>-40 bps vs. guidance midpoint (consensus slightly better)</w:t>
            </w:r>
          </w:p>
        </w:tc>
      </w:tr>
      <w:tr>
        <w:tc>
          <w:tcPr>
            <w:tcW w:type="dxa" w:w="1234"/>
          </w:tcPr>
          <w:p>
            <w:r>
              <w:rPr>
                <w:rFonts w:ascii="Calibri" w:hAnsi="Calibri"/>
                <w:sz w:val="22"/>
              </w:rPr>
              <w:t>Adj. EPS - Diluted ($)</w:t>
            </w:r>
          </w:p>
        </w:tc>
        <w:tc>
          <w:tcPr>
            <w:tcW w:type="dxa" w:w="1234"/>
          </w:tcPr>
          <w:p>
            <w:r>
              <w:rPr>
                <w:rFonts w:ascii="Calibri" w:hAnsi="Calibri"/>
                <w:sz w:val="22"/>
              </w:rPr>
              <w:t>$2.65</w:t>
            </w:r>
          </w:p>
        </w:tc>
        <w:tc>
          <w:tcPr>
            <w:tcW w:type="dxa" w:w="1234"/>
          </w:tcPr>
          <w:p>
            <w:r>
              <w:rPr>
                <w:rFonts w:ascii="Calibri" w:hAnsi="Calibri"/>
                <w:sz w:val="22"/>
              </w:rPr>
              <w:t>$3.29</w:t>
            </w:r>
          </w:p>
        </w:tc>
        <w:tc>
          <w:tcPr>
            <w:tcW w:type="dxa" w:w="1234"/>
          </w:tcPr>
          <w:p>
            <w:r>
              <w:rPr>
                <w:rFonts w:ascii="Calibri" w:hAnsi="Calibri"/>
                <w:sz w:val="22"/>
              </w:rPr>
              <w:t>$3.29</w:t>
            </w:r>
          </w:p>
        </w:tc>
        <w:tc>
          <w:tcPr>
            <w:tcW w:type="dxa" w:w="1234"/>
          </w:tcPr>
          <w:p>
            <w:r>
              <w:rPr>
                <w:rFonts w:ascii="Calibri" w:hAnsi="Calibri"/>
                <w:sz w:val="22"/>
              </w:rPr>
              <w:t>Flat YoY</w:t>
            </w:r>
          </w:p>
        </w:tc>
        <w:tc>
          <w:tcPr>
            <w:tcW w:type="dxa" w:w="1234"/>
          </w:tcPr>
          <w:p>
            <w:r>
              <w:rPr>
                <w:rFonts w:ascii="Calibri" w:hAnsi="Calibri"/>
                <w:sz w:val="22"/>
              </w:rPr>
              <w:t>No specific Q2 EPS guidance</w:t>
            </w:r>
          </w:p>
        </w:tc>
        <w:tc>
          <w:tcPr>
            <w:tcW w:type="dxa" w:w="1234"/>
          </w:tcPr>
          <w:p>
            <w:r>
              <w:rPr>
                <w:rFonts w:ascii="Calibri" w:hAnsi="Calibri"/>
                <w:sz w:val="22"/>
              </w:rPr>
              <w:t>N/A</w:t>
            </w:r>
          </w:p>
        </w:tc>
      </w:tr>
      <w:tr>
        <w:tc>
          <w:tcPr>
            <w:tcW w:type="dxa" w:w="1234"/>
          </w:tcPr>
          <w:p>
            <w:r>
              <w:rPr>
                <w:rFonts w:ascii="Calibri" w:hAnsi="Calibri"/>
                <w:sz w:val="22"/>
              </w:rPr>
              <w:t>Revenue - Merchandise ($B)</w:t>
            </w:r>
          </w:p>
        </w:tc>
        <w:tc>
          <w:tcPr>
            <w:tcW w:type="dxa" w:w="1234"/>
          </w:tcPr>
          <w:p>
            <w:r>
              <w:rPr>
                <w:rFonts w:ascii="Calibri" w:hAnsi="Calibri"/>
                <w:sz w:val="22"/>
              </w:rPr>
              <w:t>$1.885B</w:t>
            </w:r>
          </w:p>
        </w:tc>
        <w:tc>
          <w:tcPr>
            <w:tcW w:type="dxa" w:w="1234"/>
          </w:tcPr>
          <w:p>
            <w:r>
              <w:rPr>
                <w:rFonts w:ascii="Calibri" w:hAnsi="Calibri"/>
                <w:sz w:val="22"/>
              </w:rPr>
              <w:t>$1.972B</w:t>
            </w:r>
          </w:p>
        </w:tc>
        <w:tc>
          <w:tcPr>
            <w:tcW w:type="dxa" w:w="1234"/>
          </w:tcPr>
          <w:p>
            <w:r>
              <w:rPr>
                <w:rFonts w:ascii="Calibri" w:hAnsi="Calibri"/>
                <w:sz w:val="22"/>
              </w:rPr>
              <w:t>$2.105B</w:t>
            </w:r>
          </w:p>
        </w:tc>
        <w:tc>
          <w:tcPr>
            <w:tcW w:type="dxa" w:w="1234"/>
          </w:tcPr>
          <w:p>
            <w:r>
              <w:rPr>
                <w:rFonts w:ascii="Calibri" w:hAnsi="Calibri"/>
                <w:b/>
                <w:color w:val="30A46C"/>
                <w:sz w:val="22"/>
              </w:rPr>
              <w:t>+6.7%</w:t>
            </w:r>
          </w:p>
        </w:tc>
        <w:tc>
          <w:tcPr>
            <w:tcW w:type="dxa" w:w="1234"/>
          </w:tcPr>
          <w:p>
            <w:r>
              <w:rPr>
                <w:rFonts w:ascii="Calibri" w:hAnsi="Calibri"/>
                <w:sz w:val="22"/>
              </w:rPr>
              <w:t>Positive; subdued vehicle production, modest manufacturing expansion</w:t>
            </w:r>
          </w:p>
        </w:tc>
        <w:tc>
          <w:tcPr>
            <w:tcW w:type="dxa" w:w="1234"/>
          </w:tcPr>
          <w:p>
            <w:r>
              <w:rPr>
                <w:rFonts w:ascii="Calibri" w:hAnsi="Calibri"/>
                <w:sz w:val="22"/>
              </w:rPr>
              <w:t>N/A (no range)</w:t>
            </w:r>
          </w:p>
        </w:tc>
      </w:tr>
      <w:tr>
        <w:tc>
          <w:tcPr>
            <w:tcW w:type="dxa" w:w="1234"/>
          </w:tcPr>
          <w:p>
            <w:r>
              <w:rPr>
                <w:rFonts w:ascii="Calibri" w:hAnsi="Calibri"/>
                <w:sz w:val="22"/>
              </w:rPr>
              <w:t>Revenue - Intermodal ($B)</w:t>
            </w:r>
          </w:p>
        </w:tc>
        <w:tc>
          <w:tcPr>
            <w:tcW w:type="dxa" w:w="1234"/>
          </w:tcPr>
          <w:p>
            <w:r>
              <w:rPr>
                <w:rFonts w:ascii="Calibri" w:hAnsi="Calibri"/>
                <w:sz w:val="22"/>
              </w:rPr>
              <w:t>$0.749B</w:t>
            </w:r>
          </w:p>
        </w:tc>
        <w:tc>
          <w:tcPr>
            <w:tcW w:type="dxa" w:w="1234"/>
          </w:tcPr>
          <w:p>
            <w:r>
              <w:rPr>
                <w:rFonts w:ascii="Calibri" w:hAnsi="Calibri"/>
                <w:sz w:val="22"/>
              </w:rPr>
              <w:t>$0.743B</w:t>
            </w:r>
          </w:p>
        </w:tc>
        <w:tc>
          <w:tcPr>
            <w:tcW w:type="dxa" w:w="1234"/>
          </w:tcPr>
          <w:p>
            <w:r>
              <w:rPr>
                <w:rFonts w:ascii="Calibri" w:hAnsi="Calibri"/>
                <w:sz w:val="22"/>
              </w:rPr>
              <w:t>$0.842B</w:t>
            </w:r>
          </w:p>
        </w:tc>
        <w:tc>
          <w:tcPr>
            <w:tcW w:type="dxa" w:w="1234"/>
          </w:tcPr>
          <w:p>
            <w:r>
              <w:rPr>
                <w:rFonts w:ascii="Calibri" w:hAnsi="Calibri"/>
                <w:b/>
                <w:color w:val="30A46C"/>
                <w:sz w:val="22"/>
              </w:rPr>
              <w:t>+13.3%</w:t>
            </w:r>
          </w:p>
        </w:tc>
        <w:tc>
          <w:tcPr>
            <w:tcW w:type="dxa" w:w="1234"/>
          </w:tcPr>
          <w:p>
            <w:r>
              <w:rPr>
                <w:rFonts w:ascii="Calibri" w:hAnsi="Calibri"/>
                <w:sz w:val="22"/>
              </w:rPr>
              <w:t>Optimistic on domestic non-premium; international soft</w:t>
            </w:r>
          </w:p>
        </w:tc>
        <w:tc>
          <w:tcPr>
            <w:tcW w:type="dxa" w:w="1234"/>
          </w:tcPr>
          <w:p>
            <w:r>
              <w:rPr>
                <w:rFonts w:ascii="Calibri" w:hAnsi="Calibri"/>
                <w:sz w:val="22"/>
              </w:rPr>
              <w:t>N/A (no range)</w:t>
            </w:r>
          </w:p>
        </w:tc>
      </w:tr>
      <w:tr>
        <w:tc>
          <w:tcPr>
            <w:tcW w:type="dxa" w:w="1234"/>
          </w:tcPr>
          <w:p>
            <w:r>
              <w:rPr>
                <w:rFonts w:ascii="Calibri" w:hAnsi="Calibri"/>
                <w:sz w:val="22"/>
              </w:rPr>
              <w:t>Revenue - Coal ($B)</w:t>
            </w:r>
          </w:p>
        </w:tc>
        <w:tc>
          <w:tcPr>
            <w:tcW w:type="dxa" w:w="1234"/>
          </w:tcPr>
          <w:p>
            <w:r>
              <w:rPr>
                <w:rFonts w:ascii="Calibri" w:hAnsi="Calibri"/>
                <w:sz w:val="22"/>
              </w:rPr>
              <w:t>$0.364B</w:t>
            </w:r>
          </w:p>
        </w:tc>
        <w:tc>
          <w:tcPr>
            <w:tcW w:type="dxa" w:w="1234"/>
          </w:tcPr>
          <w:p>
            <w:r>
              <w:rPr>
                <w:rFonts w:ascii="Calibri" w:hAnsi="Calibri"/>
                <w:sz w:val="22"/>
              </w:rPr>
              <w:t>$0.395B</w:t>
            </w:r>
          </w:p>
        </w:tc>
        <w:tc>
          <w:tcPr>
            <w:tcW w:type="dxa" w:w="1234"/>
          </w:tcPr>
          <w:p>
            <w:r>
              <w:rPr>
                <w:rFonts w:ascii="Calibri" w:hAnsi="Calibri"/>
                <w:sz w:val="22"/>
              </w:rPr>
              <w:t>$0.397B</w:t>
            </w:r>
          </w:p>
        </w:tc>
        <w:tc>
          <w:tcPr>
            <w:tcW w:type="dxa" w:w="1234"/>
          </w:tcPr>
          <w:p>
            <w:r>
              <w:rPr>
                <w:rFonts w:ascii="Calibri" w:hAnsi="Calibri"/>
                <w:sz w:val="22"/>
              </w:rPr>
              <w:t>+0.5%</w:t>
            </w:r>
          </w:p>
        </w:tc>
        <w:tc>
          <w:tcPr>
            <w:tcW w:type="dxa" w:w="1234"/>
          </w:tcPr>
          <w:p>
            <w:r>
              <w:rPr>
                <w:rFonts w:ascii="Calibri" w:hAnsi="Calibri"/>
                <w:sz w:val="22"/>
              </w:rPr>
              <w:t>Utility positive; export thermal upside from Iran conflict</w:t>
            </w:r>
          </w:p>
        </w:tc>
        <w:tc>
          <w:tcPr>
            <w:tcW w:type="dxa" w:w="1234"/>
          </w:tcPr>
          <w:p>
            <w:r>
              <w:rPr>
                <w:rFonts w:ascii="Calibri" w:hAnsi="Calibri"/>
                <w:sz w:val="22"/>
              </w:rPr>
              <w:t>N/A (no range)</w:t>
            </w:r>
          </w:p>
        </w:tc>
      </w:tr>
      <w:tr>
        <w:tc>
          <w:tcPr>
            <w:tcW w:type="dxa" w:w="1234"/>
          </w:tcPr>
          <w:p>
            <w:r>
              <w:rPr>
                <w:rFonts w:ascii="Calibri" w:hAnsi="Calibri"/>
                <w:sz w:val="22"/>
              </w:rPr>
              <w:t>Total Carloads (K)</w:t>
            </w:r>
          </w:p>
        </w:tc>
        <w:tc>
          <w:tcPr>
            <w:tcW w:type="dxa" w:w="1234"/>
          </w:tcPr>
          <w:p>
            <w:r>
              <w:rPr>
                <w:rFonts w:ascii="Calibri" w:hAnsi="Calibri"/>
                <w:sz w:val="22"/>
              </w:rPr>
              <w:t>1,717K</w:t>
            </w:r>
          </w:p>
        </w:tc>
        <w:tc>
          <w:tcPr>
            <w:tcW w:type="dxa" w:w="1234"/>
          </w:tcPr>
          <w:p>
            <w:r>
              <w:rPr>
                <w:rFonts w:ascii="Calibri" w:hAnsi="Calibri"/>
                <w:sz w:val="22"/>
              </w:rPr>
              <w:t>1,793K</w:t>
            </w:r>
          </w:p>
        </w:tc>
        <w:tc>
          <w:tcPr>
            <w:tcW w:type="dxa" w:w="1234"/>
          </w:tcPr>
          <w:p>
            <w:r>
              <w:rPr>
                <w:rFonts w:ascii="Calibri" w:hAnsi="Calibri"/>
                <w:sz w:val="22"/>
              </w:rPr>
              <w:t>1,859K</w:t>
            </w:r>
          </w:p>
        </w:tc>
        <w:tc>
          <w:tcPr>
            <w:tcW w:type="dxa" w:w="1234"/>
          </w:tcPr>
          <w:p>
            <w:r>
              <w:rPr>
                <w:rFonts w:ascii="Calibri" w:hAnsi="Calibri"/>
                <w:b/>
                <w:color w:val="30A46C"/>
                <w:sz w:val="22"/>
              </w:rPr>
              <w:t>+3.7%</w:t>
            </w:r>
          </w:p>
        </w:tc>
        <w:tc>
          <w:tcPr>
            <w:tcW w:type="dxa" w:w="1234"/>
          </w:tcPr>
          <w:p>
            <w:r>
              <w:rPr>
                <w:rFonts w:ascii="Calibri" w:hAnsi="Calibri"/>
                <w:sz w:val="22"/>
              </w:rPr>
              <w:t>Volume growth expected; ~140K/week run rate through mid-May</w:t>
            </w:r>
          </w:p>
        </w:tc>
        <w:tc>
          <w:tcPr>
            <w:tcW w:type="dxa" w:w="1234"/>
          </w:tcPr>
          <w:p>
            <w:r>
              <w:rPr>
                <w:rFonts w:ascii="Calibri" w:hAnsi="Calibri"/>
                <w:sz w:val="22"/>
              </w:rPr>
              <w:t>N/A (no range)</w:t>
            </w:r>
          </w:p>
        </w:tc>
      </w:tr>
      <w:tr>
        <w:tc>
          <w:tcPr>
            <w:tcW w:type="dxa" w:w="1234"/>
          </w:tcPr>
          <w:p>
            <w:r>
              <w:rPr>
                <w:rFonts w:ascii="Calibri" w:hAnsi="Calibri"/>
                <w:sz w:val="22"/>
              </w:rPr>
              <w:t>Intermodal Carloads (K)</w:t>
            </w:r>
          </w:p>
        </w:tc>
        <w:tc>
          <w:tcPr>
            <w:tcW w:type="dxa" w:w="1234"/>
          </w:tcPr>
          <w:p>
            <w:r>
              <w:rPr>
                <w:rFonts w:ascii="Calibri" w:hAnsi="Calibri"/>
                <w:sz w:val="22"/>
              </w:rPr>
              <w:t>981K</w:t>
            </w:r>
          </w:p>
        </w:tc>
        <w:tc>
          <w:tcPr>
            <w:tcW w:type="dxa" w:w="1234"/>
          </w:tcPr>
          <w:p>
            <w:r>
              <w:rPr>
                <w:rFonts w:ascii="Calibri" w:hAnsi="Calibri"/>
                <w:sz w:val="22"/>
              </w:rPr>
              <w:t>1,011K</w:t>
            </w:r>
          </w:p>
        </w:tc>
        <w:tc>
          <w:tcPr>
            <w:tcW w:type="dxa" w:w="1234"/>
          </w:tcPr>
          <w:p>
            <w:r>
              <w:rPr>
                <w:rFonts w:ascii="Calibri" w:hAnsi="Calibri"/>
                <w:sz w:val="22"/>
              </w:rPr>
              <w:t>1,060K</w:t>
            </w:r>
          </w:p>
        </w:tc>
        <w:tc>
          <w:tcPr>
            <w:tcW w:type="dxa" w:w="1234"/>
          </w:tcPr>
          <w:p>
            <w:r>
              <w:rPr>
                <w:rFonts w:ascii="Calibri" w:hAnsi="Calibri"/>
                <w:b/>
                <w:color w:val="30A46C"/>
                <w:sz w:val="22"/>
              </w:rPr>
              <w:t>+4.8%</w:t>
            </w:r>
          </w:p>
        </w:tc>
        <w:tc>
          <w:tcPr>
            <w:tcW w:type="dxa" w:w="1234"/>
          </w:tcPr>
          <w:p>
            <w:r>
              <w:rPr>
                <w:rFonts w:ascii="Calibri" w:hAnsi="Calibri"/>
                <w:sz w:val="22"/>
              </w:rPr>
              <w:t>Bullish domestic non-premium; international soft</w:t>
            </w:r>
          </w:p>
        </w:tc>
        <w:tc>
          <w:tcPr>
            <w:tcW w:type="dxa" w:w="1234"/>
          </w:tcPr>
          <w:p>
            <w:r>
              <w:rPr>
                <w:rFonts w:ascii="Calibri" w:hAnsi="Calibri"/>
                <w:sz w:val="22"/>
              </w:rPr>
              <w:t>N/A (no range)</w:t>
            </w:r>
          </w:p>
        </w:tc>
      </w:tr>
      <w:tr>
        <w:tc>
          <w:tcPr>
            <w:tcW w:type="dxa" w:w="1234"/>
          </w:tcPr>
          <w:p>
            <w:r>
              <w:rPr>
                <w:rFonts w:ascii="Calibri" w:hAnsi="Calibri"/>
                <w:sz w:val="22"/>
              </w:rPr>
              <w:t>Merchandise Carloads (K)</w:t>
            </w:r>
          </w:p>
        </w:tc>
        <w:tc>
          <w:tcPr>
            <w:tcW w:type="dxa" w:w="1234"/>
          </w:tcPr>
          <w:p>
            <w:r>
              <w:rPr>
                <w:rFonts w:ascii="Calibri" w:hAnsi="Calibri"/>
                <w:sz w:val="22"/>
              </w:rPr>
              <w:t>558K</w:t>
            </w:r>
          </w:p>
        </w:tc>
        <w:tc>
          <w:tcPr>
            <w:tcW w:type="dxa" w:w="1234"/>
          </w:tcPr>
          <w:p>
            <w:r>
              <w:rPr>
                <w:rFonts w:ascii="Calibri" w:hAnsi="Calibri"/>
                <w:sz w:val="22"/>
              </w:rPr>
              <w:t>601K</w:t>
            </w:r>
          </w:p>
        </w:tc>
        <w:tc>
          <w:tcPr>
            <w:tcW w:type="dxa" w:w="1234"/>
          </w:tcPr>
          <w:p>
            <w:r>
              <w:rPr>
                <w:rFonts w:ascii="Calibri" w:hAnsi="Calibri"/>
                <w:sz w:val="22"/>
              </w:rPr>
              <w:t>611K</w:t>
            </w:r>
          </w:p>
        </w:tc>
        <w:tc>
          <w:tcPr>
            <w:tcW w:type="dxa" w:w="1234"/>
          </w:tcPr>
          <w:p>
            <w:r>
              <w:rPr>
                <w:rFonts w:ascii="Calibri" w:hAnsi="Calibri"/>
                <w:sz w:val="22"/>
              </w:rPr>
              <w:t>+1.7%</w:t>
            </w:r>
          </w:p>
        </w:tc>
        <w:tc>
          <w:tcPr>
            <w:tcW w:type="dxa" w:w="1234"/>
          </w:tcPr>
          <w:p>
            <w:r>
              <w:rPr>
                <w:rFonts w:ascii="Calibri" w:hAnsi="Calibri"/>
                <w:sz w:val="22"/>
              </w:rPr>
              <w:t>Positive; chemicals, automotive share gains</w:t>
            </w:r>
          </w:p>
        </w:tc>
        <w:tc>
          <w:tcPr>
            <w:tcW w:type="dxa" w:w="1234"/>
          </w:tcPr>
          <w:p>
            <w:r>
              <w:rPr>
                <w:rFonts w:ascii="Calibri" w:hAnsi="Calibri"/>
                <w:sz w:val="22"/>
              </w:rPr>
              <w:t>N/A (no range)</w:t>
            </w:r>
          </w:p>
        </w:tc>
      </w:tr>
      <w:tr>
        <w:tc>
          <w:tcPr>
            <w:tcW w:type="dxa" w:w="1234"/>
          </w:tcPr>
          <w:p>
            <w:r>
              <w:rPr>
                <w:rFonts w:ascii="Calibri" w:hAnsi="Calibri"/>
                <w:sz w:val="22"/>
              </w:rPr>
              <w:t>Coal Carloads (K)</w:t>
            </w:r>
          </w:p>
        </w:tc>
        <w:tc>
          <w:tcPr>
            <w:tcW w:type="dxa" w:w="1234"/>
          </w:tcPr>
          <w:p>
            <w:r>
              <w:rPr>
                <w:rFonts w:ascii="Calibri" w:hAnsi="Calibri"/>
                <w:sz w:val="22"/>
              </w:rPr>
              <w:t>179K</w:t>
            </w:r>
          </w:p>
        </w:tc>
        <w:tc>
          <w:tcPr>
            <w:tcW w:type="dxa" w:w="1234"/>
          </w:tcPr>
          <w:p>
            <w:r>
              <w:rPr>
                <w:rFonts w:ascii="Calibri" w:hAnsi="Calibri"/>
                <w:sz w:val="22"/>
              </w:rPr>
              <w:t>182K</w:t>
            </w:r>
          </w:p>
        </w:tc>
        <w:tc>
          <w:tcPr>
            <w:tcW w:type="dxa" w:w="1234"/>
          </w:tcPr>
          <w:p>
            <w:r>
              <w:rPr>
                <w:rFonts w:ascii="Calibri" w:hAnsi="Calibri"/>
                <w:sz w:val="22"/>
              </w:rPr>
              <w:t>188K</w:t>
            </w:r>
          </w:p>
        </w:tc>
        <w:tc>
          <w:tcPr>
            <w:tcW w:type="dxa" w:w="1234"/>
          </w:tcPr>
          <w:p>
            <w:r>
              <w:rPr>
                <w:rFonts w:ascii="Calibri" w:hAnsi="Calibri"/>
                <w:b/>
                <w:color w:val="30A46C"/>
                <w:sz w:val="22"/>
              </w:rPr>
              <w:t>+3.3%</w:t>
            </w:r>
          </w:p>
        </w:tc>
        <w:tc>
          <w:tcPr>
            <w:tcW w:type="dxa" w:w="1234"/>
          </w:tcPr>
          <w:p>
            <w:r>
              <w:rPr>
                <w:rFonts w:ascii="Calibri" w:hAnsi="Calibri"/>
                <w:sz w:val="22"/>
              </w:rPr>
              <w:t>Utility demand + export thermal upside</w:t>
            </w:r>
          </w:p>
        </w:tc>
        <w:tc>
          <w:tcPr>
            <w:tcW w:type="dxa" w:w="1234"/>
          </w:tcPr>
          <w:p>
            <w:r>
              <w:rPr>
                <w:rFonts w:ascii="Calibri" w:hAnsi="Calibri"/>
                <w:sz w:val="22"/>
              </w:rPr>
              <w:t>N/A (no range)</w:t>
            </w:r>
          </w:p>
        </w:tc>
      </w:tr>
      <w:tr>
        <w:tc>
          <w:tcPr>
            <w:tcW w:type="dxa" w:w="1234"/>
          </w:tcPr>
          <w:p>
            <w:r>
              <w:rPr>
                <w:rFonts w:ascii="Calibri" w:hAnsi="Calibri"/>
                <w:sz w:val="22"/>
              </w:rPr>
              <w:t>Capital Expenditures ($B)</w:t>
            </w:r>
          </w:p>
        </w:tc>
        <w:tc>
          <w:tcPr>
            <w:tcW w:type="dxa" w:w="1234"/>
          </w:tcPr>
          <w:p>
            <w:r>
              <w:rPr>
                <w:rFonts w:ascii="Calibri" w:hAnsi="Calibri"/>
                <w:sz w:val="22"/>
              </w:rPr>
              <w:t>$0.382B</w:t>
            </w:r>
          </w:p>
        </w:tc>
        <w:tc>
          <w:tcPr>
            <w:tcW w:type="dxa" w:w="1234"/>
          </w:tcPr>
          <w:p>
            <w:r>
              <w:rPr>
                <w:rFonts w:ascii="Calibri" w:hAnsi="Calibri"/>
                <w:sz w:val="22"/>
              </w:rPr>
              <w:t>$0.475B</w:t>
            </w:r>
          </w:p>
        </w:tc>
        <w:tc>
          <w:tcPr>
            <w:tcW w:type="dxa" w:w="1234"/>
          </w:tcPr>
          <w:p>
            <w:r>
              <w:rPr>
                <w:rFonts w:ascii="Calibri" w:hAnsi="Calibri"/>
                <w:sz w:val="22"/>
              </w:rPr>
              <w:t>$0.494B</w:t>
            </w:r>
          </w:p>
        </w:tc>
        <w:tc>
          <w:tcPr>
            <w:tcW w:type="dxa" w:w="1234"/>
          </w:tcPr>
          <w:p>
            <w:r>
              <w:rPr>
                <w:rFonts w:ascii="Calibri" w:hAnsi="Calibri"/>
                <w:sz w:val="22"/>
              </w:rPr>
              <w:t>+4.0%</w:t>
            </w:r>
          </w:p>
        </w:tc>
        <w:tc>
          <w:tcPr>
            <w:tcW w:type="dxa" w:w="1234"/>
          </w:tcPr>
          <w:p>
            <w:r>
              <w:rPr>
                <w:rFonts w:ascii="Calibri" w:hAnsi="Calibri"/>
                <w:sz w:val="22"/>
              </w:rPr>
              <w:t>FY2026 cost envelope $8.2B–$8.4B maintained</w:t>
            </w:r>
          </w:p>
        </w:tc>
        <w:tc>
          <w:tcPr>
            <w:tcW w:type="dxa" w:w="1234"/>
          </w:tcPr>
          <w:p>
            <w:r>
              <w:rPr>
                <w:rFonts w:ascii="Calibri" w:hAnsi="Calibri"/>
                <w:sz w:val="22"/>
              </w:rPr>
              <w:t>N/A</w:t>
            </w:r>
          </w:p>
        </w:tc>
      </w:tr>
      <w:tr>
        <w:tc>
          <w:tcPr>
            <w:tcW w:type="dxa" w:w="1234"/>
          </w:tcPr>
          <w:p>
            <w:r>
              <w:rPr>
                <w:rFonts w:ascii="Calibri" w:hAnsi="Calibri"/>
                <w:sz w:val="22"/>
              </w:rPr>
              <w:t>Free Cash Flow ($B)</w:t>
            </w:r>
          </w:p>
        </w:tc>
        <w:tc>
          <w:tcPr>
            <w:tcW w:type="dxa" w:w="1234"/>
          </w:tcPr>
          <w:p>
            <w:r>
              <w:rPr>
                <w:rFonts w:ascii="Calibri" w:hAnsi="Calibri"/>
                <w:sz w:val="22"/>
              </w:rPr>
              <w:t>$0.124B</w:t>
            </w:r>
          </w:p>
        </w:tc>
        <w:tc>
          <w:tcPr>
            <w:tcW w:type="dxa" w:w="1234"/>
          </w:tcPr>
          <w:p>
            <w:r>
              <w:rPr>
                <w:rFonts w:ascii="Calibri" w:hAnsi="Calibri"/>
                <w:sz w:val="22"/>
              </w:rPr>
              <w:t>$0.602B</w:t>
            </w:r>
          </w:p>
        </w:tc>
        <w:tc>
          <w:tcPr>
            <w:tcW w:type="dxa" w:w="1234"/>
          </w:tcPr>
          <w:p>
            <w:r>
              <w:rPr>
                <w:rFonts w:ascii="Calibri" w:hAnsi="Calibri"/>
                <w:sz w:val="22"/>
              </w:rPr>
              <w:t>$0.609B</w:t>
            </w:r>
          </w:p>
        </w:tc>
        <w:tc>
          <w:tcPr>
            <w:tcW w:type="dxa" w:w="1234"/>
          </w:tcPr>
          <w:p>
            <w:r>
              <w:rPr>
                <w:rFonts w:ascii="Calibri" w:hAnsi="Calibri"/>
                <w:sz w:val="22"/>
              </w:rPr>
              <w:t>+1.2%</w:t>
            </w:r>
          </w:p>
        </w:tc>
        <w:tc>
          <w:tcPr>
            <w:tcW w:type="dxa" w:w="1234"/>
          </w:tcPr>
          <w:p>
            <w:r>
              <w:rPr>
                <w:rFonts w:ascii="Calibri" w:hAnsi="Calibri"/>
                <w:sz w:val="22"/>
              </w:rPr>
              <w:t>No specific guidance</w:t>
            </w:r>
          </w:p>
        </w:tc>
        <w:tc>
          <w:tcPr>
            <w:tcW w:type="dxa" w:w="1234"/>
          </w:tcPr>
          <w:p>
            <w:r>
              <w:rPr>
                <w:rFonts w:ascii="Calibri" w:hAnsi="Calibri"/>
                <w:sz w:val="22"/>
              </w:rPr>
              <w:t>N/A</w:t>
            </w:r>
          </w:p>
        </w:tc>
      </w:tr>
    </w:tbl>
    <w:p>
      <w:r>
        <w:rPr>
          <w:rFonts w:ascii="Calibri" w:hAnsi="Calibri"/>
          <w:i/>
          <w:color w:val="525866"/>
          <w:sz w:val="22"/>
        </w:rPr>
        <w:t>Source: Visible Alpha consensus and actuals data. All consensus figures as of July 22, 2026. Q1 2026 actuals reported April 24, 2026. Q2 2025 actuals are prior-year period comparisons.</w:t>
      </w:r>
    </w:p>
    <w:p>
      <w:pPr>
        <w:pStyle w:val="Heading3"/>
      </w:pPr>
      <w:r>
        <w:rPr>
          <w:rFonts w:ascii="Calibri" w:hAnsi="Calibri"/>
          <w:b/>
          <w:color w:val="3B4259"/>
          <w:sz w:val="24"/>
        </w:rPr>
        <w:t>Table 2 — Beat/Miss History (Last 8 Quarters, Top 2 KPIs)</w:t>
      </w:r>
    </w:p>
    <w:p>
      <w:pPr>
        <w:pStyle w:val="Heading4"/>
      </w:pPr>
      <w:r>
        <w:rPr>
          <w:rFonts w:ascii="Calibri" w:hAnsi="Calibri"/>
          <w:b/>
          <w:color w:val="3B4259"/>
          <w:sz w:val="22"/>
        </w:rPr>
        <w:t>Adj. Operating Ratio (%) — Lower is Better</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w:t>
            </w:r>
          </w:p>
        </w:tc>
        <w:tc>
          <w:tcPr>
            <w:tcW w:type="dxa" w:w="1728"/>
            <w:shd w:val="clear" w:color="auto" w:fill="3B4259"/>
          </w:tcPr>
          <w:p>
            <w:r>
              <w:rPr>
                <w:rFonts w:ascii="Calibri" w:hAnsi="Calibri"/>
                <w:b/>
                <w:color w:val="FFFFFF"/>
                <w:sz w:val="22"/>
              </w:rPr>
              <w:t>Consensus</w:t>
            </w:r>
          </w:p>
        </w:tc>
        <w:tc>
          <w:tcPr>
            <w:tcW w:type="dxa" w:w="1728"/>
            <w:shd w:val="clear" w:color="auto" w:fill="3B4259"/>
          </w:tcPr>
          <w:p>
            <w:r>
              <w:rPr>
                <w:rFonts w:ascii="Calibri" w:hAnsi="Calibri"/>
                <w:b/>
                <w:color w:val="FFFFFF"/>
                <w:sz w:val="22"/>
              </w:rPr>
              <w:t>Surprise (bps)</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65.1%</w:t>
            </w:r>
          </w:p>
        </w:tc>
        <w:tc>
          <w:tcPr>
            <w:tcW w:type="dxa" w:w="1728"/>
          </w:tcPr>
          <w:p>
            <w:r>
              <w:rPr>
                <w:rFonts w:ascii="Calibri" w:hAnsi="Calibri"/>
                <w:sz w:val="22"/>
              </w:rPr>
              <w:t>66.6%</w:t>
            </w:r>
          </w:p>
        </w:tc>
        <w:tc>
          <w:tcPr>
            <w:tcW w:type="dxa" w:w="1728"/>
          </w:tcPr>
          <w:p>
            <w:r>
              <w:rPr>
                <w:rFonts w:ascii="Calibri" w:hAnsi="Calibri"/>
                <w:b/>
                <w:color w:val="30A46C"/>
                <w:sz w:val="22"/>
              </w:rPr>
              <w:t>-150 bps</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63.4%</w:t>
            </w:r>
          </w:p>
        </w:tc>
        <w:tc>
          <w:tcPr>
            <w:tcW w:type="dxa" w:w="1728"/>
          </w:tcPr>
          <w:p>
            <w:r>
              <w:rPr>
                <w:rFonts w:ascii="Calibri" w:hAnsi="Calibri"/>
                <w:sz w:val="22"/>
              </w:rPr>
              <w:t>64.7%</w:t>
            </w:r>
          </w:p>
        </w:tc>
        <w:tc>
          <w:tcPr>
            <w:tcW w:type="dxa" w:w="1728"/>
          </w:tcPr>
          <w:p>
            <w:r>
              <w:rPr>
                <w:rFonts w:ascii="Calibri" w:hAnsi="Calibri"/>
                <w:b/>
                <w:color w:val="30A46C"/>
                <w:sz w:val="22"/>
              </w:rPr>
              <w:t>-130 bps</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64.9%</w:t>
            </w:r>
          </w:p>
        </w:tc>
        <w:tc>
          <w:tcPr>
            <w:tcW w:type="dxa" w:w="1728"/>
          </w:tcPr>
          <w:p>
            <w:r>
              <w:rPr>
                <w:rFonts w:ascii="Calibri" w:hAnsi="Calibri"/>
                <w:sz w:val="22"/>
              </w:rPr>
              <w:t>65.6%</w:t>
            </w:r>
          </w:p>
        </w:tc>
        <w:tc>
          <w:tcPr>
            <w:tcW w:type="dxa" w:w="1728"/>
          </w:tcPr>
          <w:p>
            <w:r>
              <w:rPr>
                <w:rFonts w:ascii="Calibri" w:hAnsi="Calibri"/>
                <w:b/>
                <w:color w:val="30A46C"/>
                <w:sz w:val="22"/>
              </w:rPr>
              <w:t>-70 bps</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67.9%</w:t>
            </w:r>
          </w:p>
        </w:tc>
        <w:tc>
          <w:tcPr>
            <w:tcW w:type="dxa" w:w="1728"/>
          </w:tcPr>
          <w:p>
            <w:r>
              <w:rPr>
                <w:rFonts w:ascii="Calibri" w:hAnsi="Calibri"/>
                <w:sz w:val="22"/>
              </w:rPr>
              <w:t>67.9%</w:t>
            </w:r>
          </w:p>
        </w:tc>
        <w:tc>
          <w:tcPr>
            <w:tcW w:type="dxa" w:w="1728"/>
          </w:tcPr>
          <w:p>
            <w:r>
              <w:rPr>
                <w:rFonts w:ascii="Calibri" w:hAnsi="Calibri"/>
                <w:sz w:val="22"/>
              </w:rPr>
              <w:t>0 bps</w:t>
            </w:r>
          </w:p>
        </w:tc>
        <w:tc>
          <w:tcPr>
            <w:tcW w:type="dxa" w:w="1728"/>
          </w:tcPr>
          <w:p>
            <w:r>
              <w:rPr>
                <w:rFonts w:ascii="Calibri" w:hAnsi="Calibri"/>
                <w:sz w:val="22"/>
              </w:rPr>
              <w:t>In-Line</w:t>
            </w:r>
          </w:p>
        </w:tc>
      </w:tr>
      <w:tr>
        <w:tc>
          <w:tcPr>
            <w:tcW w:type="dxa" w:w="1728"/>
          </w:tcPr>
          <w:p>
            <w:r>
              <w:rPr>
                <w:rFonts w:ascii="Calibri" w:hAnsi="Calibri"/>
                <w:sz w:val="22"/>
              </w:rPr>
              <w:t>Q2 2025</w:t>
            </w:r>
          </w:p>
        </w:tc>
        <w:tc>
          <w:tcPr>
            <w:tcW w:type="dxa" w:w="1728"/>
          </w:tcPr>
          <w:p>
            <w:r>
              <w:rPr>
                <w:rFonts w:ascii="Calibri" w:hAnsi="Calibri"/>
                <w:sz w:val="22"/>
              </w:rPr>
              <w:t>63.4%</w:t>
            </w:r>
          </w:p>
        </w:tc>
        <w:tc>
          <w:tcPr>
            <w:tcW w:type="dxa" w:w="1728"/>
          </w:tcPr>
          <w:p>
            <w:r>
              <w:rPr>
                <w:rFonts w:ascii="Calibri" w:hAnsi="Calibri"/>
                <w:sz w:val="22"/>
              </w:rPr>
              <w:t>63.5%</w:t>
            </w:r>
          </w:p>
        </w:tc>
        <w:tc>
          <w:tcPr>
            <w:tcW w:type="dxa" w:w="1728"/>
          </w:tcPr>
          <w:p>
            <w:r>
              <w:rPr>
                <w:rFonts w:ascii="Calibri" w:hAnsi="Calibri"/>
                <w:b/>
                <w:color w:val="30A46C"/>
                <w:sz w:val="22"/>
              </w:rPr>
              <w:t>-10 bps</w:t>
            </w:r>
          </w:p>
        </w:tc>
        <w:tc>
          <w:tcPr>
            <w:tcW w:type="dxa" w:w="1728"/>
          </w:tcPr>
          <w:p>
            <w:r>
              <w:rPr>
                <w:rFonts w:ascii="Calibri" w:hAnsi="Calibri"/>
                <w:sz w:val="22"/>
              </w:rPr>
              <w:t>Slight Beat</w:t>
            </w:r>
          </w:p>
        </w:tc>
      </w:tr>
      <w:tr>
        <w:tc>
          <w:tcPr>
            <w:tcW w:type="dxa" w:w="1728"/>
          </w:tcPr>
          <w:p>
            <w:r>
              <w:rPr>
                <w:rFonts w:ascii="Calibri" w:hAnsi="Calibri"/>
                <w:sz w:val="22"/>
              </w:rPr>
              <w:t>Q3 2025</w:t>
            </w:r>
          </w:p>
        </w:tc>
        <w:tc>
          <w:tcPr>
            <w:tcW w:type="dxa" w:w="1728"/>
          </w:tcPr>
          <w:p>
            <w:r>
              <w:rPr>
                <w:rFonts w:ascii="Calibri" w:hAnsi="Calibri"/>
                <w:sz w:val="22"/>
              </w:rPr>
              <w:t>63.3%</w:t>
            </w:r>
          </w:p>
        </w:tc>
        <w:tc>
          <w:tcPr>
            <w:tcW w:type="dxa" w:w="1728"/>
          </w:tcPr>
          <w:p>
            <w:r>
              <w:rPr>
                <w:rFonts w:ascii="Calibri" w:hAnsi="Calibri"/>
                <w:sz w:val="22"/>
              </w:rPr>
              <w:t>64.3%</w:t>
            </w:r>
          </w:p>
        </w:tc>
        <w:tc>
          <w:tcPr>
            <w:tcW w:type="dxa" w:w="1728"/>
          </w:tcPr>
          <w:p>
            <w:r>
              <w:rPr>
                <w:rFonts w:ascii="Calibri" w:hAnsi="Calibri"/>
                <w:b/>
                <w:color w:val="30A46C"/>
                <w:sz w:val="22"/>
              </w:rPr>
              <w:t>-100 bps</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65.3%</w:t>
            </w:r>
          </w:p>
        </w:tc>
        <w:tc>
          <w:tcPr>
            <w:tcW w:type="dxa" w:w="1728"/>
          </w:tcPr>
          <w:p>
            <w:r>
              <w:rPr>
                <w:rFonts w:ascii="Calibri" w:hAnsi="Calibri"/>
                <w:sz w:val="22"/>
              </w:rPr>
              <w:t>67.2%</w:t>
            </w:r>
          </w:p>
        </w:tc>
        <w:tc>
          <w:tcPr>
            <w:tcW w:type="dxa" w:w="1728"/>
          </w:tcPr>
          <w:p>
            <w:r>
              <w:rPr>
                <w:rFonts w:ascii="Calibri" w:hAnsi="Calibri"/>
                <w:b/>
                <w:color w:val="30A46C"/>
                <w:sz w:val="22"/>
              </w:rPr>
              <w:t>-190 bps</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68.7%</w:t>
            </w:r>
          </w:p>
        </w:tc>
        <w:tc>
          <w:tcPr>
            <w:tcW w:type="dxa" w:w="1728"/>
          </w:tcPr>
          <w:p>
            <w:r>
              <w:rPr>
                <w:rFonts w:ascii="Calibri" w:hAnsi="Calibri"/>
                <w:sz w:val="22"/>
              </w:rPr>
              <w:t>69.8%</w:t>
            </w:r>
          </w:p>
        </w:tc>
        <w:tc>
          <w:tcPr>
            <w:tcW w:type="dxa" w:w="1728"/>
          </w:tcPr>
          <w:p>
            <w:r>
              <w:rPr>
                <w:rFonts w:ascii="Calibri" w:hAnsi="Calibri"/>
                <w:b/>
                <w:color w:val="30A46C"/>
                <w:sz w:val="22"/>
              </w:rPr>
              <w:t>-110 bps</w:t>
            </w:r>
          </w:p>
        </w:tc>
        <w:tc>
          <w:tcPr>
            <w:tcW w:type="dxa" w:w="1728"/>
          </w:tcPr>
          <w:p>
            <w:r>
              <w:rPr>
                <w:rFonts w:ascii="Calibri" w:hAnsi="Calibri"/>
                <w:sz w:val="22"/>
              </w:rPr>
              <w:t>Beat</w:t>
            </w:r>
          </w:p>
        </w:tc>
      </w:tr>
    </w:tbl>
    <w:p>
      <w:r>
        <w:rPr>
          <w:rFonts w:ascii="Calibri" w:hAnsi="Calibri"/>
          <w:i/>
          <w:color w:val="525866"/>
          <w:sz w:val="22"/>
        </w:rPr>
        <w:t>NSC has beaten OR consensus in 7 of the last 8 quarters, with the sole in-line quarter (Q1 2025) driven by elevated storm costs and fuel headwinds — a strong pattern of cost discipline outperforming street expectations.</w:t>
      </w:r>
    </w:p>
    <w:p>
      <w:pPr>
        <w:pStyle w:val="Heading4"/>
      </w:pPr>
      <w:r>
        <w:rPr>
          <w:rFonts w:ascii="Calibri" w:hAnsi="Calibri"/>
          <w:b/>
          <w:color w:val="3B4259"/>
          <w:sz w:val="22"/>
        </w:rPr>
        <w:t>Adj. EPS — Diluted ($)</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$3.07</w:t>
            </w:r>
          </w:p>
        </w:tc>
        <w:tc>
          <w:tcPr>
            <w:tcW w:type="dxa" w:w="1728"/>
          </w:tcPr>
          <w:p>
            <w:r>
              <w:rPr>
                <w:rFonts w:ascii="Calibri" w:hAnsi="Calibri"/>
                <w:sz w:val="22"/>
              </w:rPr>
              <w:t>$2.87</w:t>
            </w:r>
          </w:p>
        </w:tc>
        <w:tc>
          <w:tcPr>
            <w:tcW w:type="dxa" w:w="1728"/>
          </w:tcPr>
          <w:p>
            <w:r>
              <w:rPr>
                <w:rFonts w:ascii="Calibri" w:hAnsi="Calibri"/>
                <w:b/>
                <w:color w:val="30A46C"/>
                <w:sz w:val="22"/>
              </w:rPr>
              <w:t>+7.0%</w:t>
            </w:r>
          </w:p>
        </w:tc>
        <w:tc>
          <w:tcPr>
            <w:tcW w:type="dxa" w:w="1728"/>
          </w:tcPr>
          <w:p>
            <w:r>
              <w:rPr>
                <w:rFonts w:ascii="Calibri" w:hAnsi="Calibri"/>
                <w:sz w:val="22"/>
              </w:rPr>
              <w:t>Beat</w:t>
            </w:r>
          </w:p>
        </w:tc>
      </w:tr>
      <w:tr>
        <w:tc>
          <w:tcPr>
            <w:tcW w:type="dxa" w:w="1728"/>
          </w:tcPr>
          <w:p>
            <w:r>
              <w:rPr>
                <w:rFonts w:ascii="Calibri" w:hAnsi="Calibri"/>
                <w:sz w:val="22"/>
              </w:rPr>
              <w:t>Q3 2024</w:t>
            </w:r>
          </w:p>
        </w:tc>
        <w:tc>
          <w:tcPr>
            <w:tcW w:type="dxa" w:w="1728"/>
          </w:tcPr>
          <w:p>
            <w:r>
              <w:rPr>
                <w:rFonts w:ascii="Calibri" w:hAnsi="Calibri"/>
                <w:sz w:val="22"/>
              </w:rPr>
              <w:t>$3.25</w:t>
            </w:r>
          </w:p>
        </w:tc>
        <w:tc>
          <w:tcPr>
            <w:tcW w:type="dxa" w:w="1728"/>
          </w:tcPr>
          <w:p>
            <w:r>
              <w:rPr>
                <w:rFonts w:ascii="Calibri" w:hAnsi="Calibri"/>
                <w:sz w:val="22"/>
              </w:rPr>
              <w:t>$3.11</w:t>
            </w:r>
          </w:p>
        </w:tc>
        <w:tc>
          <w:tcPr>
            <w:tcW w:type="dxa" w:w="1728"/>
          </w:tcPr>
          <w:p>
            <w:r>
              <w:rPr>
                <w:rFonts w:ascii="Calibri" w:hAnsi="Calibri"/>
                <w:b/>
                <w:color w:val="30A46C"/>
                <w:sz w:val="22"/>
              </w:rPr>
              <w:t>+4.5%</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$3.04</w:t>
            </w:r>
          </w:p>
        </w:tc>
        <w:tc>
          <w:tcPr>
            <w:tcW w:type="dxa" w:w="1728"/>
          </w:tcPr>
          <w:p>
            <w:r>
              <w:rPr>
                <w:rFonts w:ascii="Calibri" w:hAnsi="Calibri"/>
                <w:sz w:val="22"/>
              </w:rPr>
              <w:t>$2.95</w:t>
            </w:r>
          </w:p>
        </w:tc>
        <w:tc>
          <w:tcPr>
            <w:tcW w:type="dxa" w:w="1728"/>
          </w:tcPr>
          <w:p>
            <w:r>
              <w:rPr>
                <w:rFonts w:ascii="Calibri" w:hAnsi="Calibri"/>
                <w:b/>
                <w:color w:val="30A46C"/>
                <w:sz w:val="22"/>
              </w:rPr>
              <w:t>+3.1%</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$2.69</w:t>
            </w:r>
          </w:p>
        </w:tc>
        <w:tc>
          <w:tcPr>
            <w:tcW w:type="dxa" w:w="1728"/>
          </w:tcPr>
          <w:p>
            <w:r>
              <w:rPr>
                <w:rFonts w:ascii="Calibri" w:hAnsi="Calibri"/>
                <w:sz w:val="22"/>
              </w:rPr>
              <w:t>$2.70</w:t>
            </w:r>
          </w:p>
        </w:tc>
        <w:tc>
          <w:tcPr>
            <w:tcW w:type="dxa" w:w="1728"/>
          </w:tcPr>
          <w:p>
            <w:r>
              <w:rPr>
                <w:rFonts w:ascii="Calibri" w:hAnsi="Calibri"/>
                <w:b/>
                <w:color w:val="E5484D"/>
                <w:sz w:val="22"/>
              </w:rPr>
              <w:t>-0.4%</w:t>
            </w:r>
          </w:p>
        </w:tc>
        <w:tc>
          <w:tcPr>
            <w:tcW w:type="dxa" w:w="1728"/>
          </w:tcPr>
          <w:p>
            <w:r>
              <w:rPr>
                <w:rFonts w:ascii="Calibri" w:hAnsi="Calibri"/>
                <w:sz w:val="22"/>
              </w:rPr>
              <w:t>Slight Miss</w:t>
            </w:r>
          </w:p>
        </w:tc>
      </w:tr>
      <w:tr>
        <w:tc>
          <w:tcPr>
            <w:tcW w:type="dxa" w:w="1728"/>
          </w:tcPr>
          <w:p>
            <w:r>
              <w:rPr>
                <w:rFonts w:ascii="Calibri" w:hAnsi="Calibri"/>
                <w:sz w:val="22"/>
              </w:rPr>
              <w:t>Q2 2025</w:t>
            </w:r>
          </w:p>
        </w:tc>
        <w:tc>
          <w:tcPr>
            <w:tcW w:type="dxa" w:w="1728"/>
          </w:tcPr>
          <w:p>
            <w:r>
              <w:rPr>
                <w:rFonts w:ascii="Calibri" w:hAnsi="Calibri"/>
                <w:sz w:val="22"/>
              </w:rPr>
              <w:t>$3.29</w:t>
            </w:r>
          </w:p>
        </w:tc>
        <w:tc>
          <w:tcPr>
            <w:tcW w:type="dxa" w:w="1728"/>
          </w:tcPr>
          <w:p>
            <w:r>
              <w:rPr>
                <w:rFonts w:ascii="Calibri" w:hAnsi="Calibri"/>
                <w:sz w:val="22"/>
              </w:rPr>
              <w:t>$3.31</w:t>
            </w:r>
          </w:p>
        </w:tc>
        <w:tc>
          <w:tcPr>
            <w:tcW w:type="dxa" w:w="1728"/>
          </w:tcPr>
          <w:p>
            <w:r>
              <w:rPr>
                <w:rFonts w:ascii="Calibri" w:hAnsi="Calibri"/>
                <w:b/>
                <w:color w:val="E5484D"/>
                <w:sz w:val="22"/>
              </w:rPr>
              <w:t>-0.6%</w:t>
            </w:r>
          </w:p>
        </w:tc>
        <w:tc>
          <w:tcPr>
            <w:tcW w:type="dxa" w:w="1728"/>
          </w:tcPr>
          <w:p>
            <w:r>
              <w:rPr>
                <w:rFonts w:ascii="Calibri" w:hAnsi="Calibri"/>
                <w:sz w:val="22"/>
              </w:rPr>
              <w:t>Slight Miss</w:t>
            </w:r>
          </w:p>
        </w:tc>
      </w:tr>
      <w:tr>
        <w:tc>
          <w:tcPr>
            <w:tcW w:type="dxa" w:w="1728"/>
          </w:tcPr>
          <w:p>
            <w:r>
              <w:rPr>
                <w:rFonts w:ascii="Calibri" w:hAnsi="Calibri"/>
                <w:sz w:val="22"/>
              </w:rPr>
              <w:t>Q3 2025</w:t>
            </w:r>
          </w:p>
        </w:tc>
        <w:tc>
          <w:tcPr>
            <w:tcW w:type="dxa" w:w="1728"/>
          </w:tcPr>
          <w:p>
            <w:r>
              <w:rPr>
                <w:rFonts w:ascii="Calibri" w:hAnsi="Calibri"/>
                <w:sz w:val="22"/>
              </w:rPr>
              <w:t>$3.30</w:t>
            </w:r>
          </w:p>
        </w:tc>
        <w:tc>
          <w:tcPr>
            <w:tcW w:type="dxa" w:w="1728"/>
          </w:tcPr>
          <w:p>
            <w:r>
              <w:rPr>
                <w:rFonts w:ascii="Calibri" w:hAnsi="Calibri"/>
                <w:sz w:val="22"/>
              </w:rPr>
              <w:t>$3.19</w:t>
            </w:r>
          </w:p>
        </w:tc>
        <w:tc>
          <w:tcPr>
            <w:tcW w:type="dxa" w:w="1728"/>
          </w:tcPr>
          <w:p>
            <w:r>
              <w:rPr>
                <w:rFonts w:ascii="Calibri" w:hAnsi="Calibri"/>
                <w:b/>
                <w:color w:val="30A46C"/>
                <w:sz w:val="22"/>
              </w:rPr>
              <w:t>+3.5%</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$3.22</w:t>
            </w:r>
          </w:p>
        </w:tc>
        <w:tc>
          <w:tcPr>
            <w:tcW w:type="dxa" w:w="1728"/>
          </w:tcPr>
          <w:p>
            <w:r>
              <w:rPr>
                <w:rFonts w:ascii="Calibri" w:hAnsi="Calibri"/>
                <w:sz w:val="22"/>
              </w:rPr>
              <w:t>$2.79</w:t>
            </w:r>
          </w:p>
        </w:tc>
        <w:tc>
          <w:tcPr>
            <w:tcW w:type="dxa" w:w="1728"/>
          </w:tcPr>
          <w:p>
            <w:r>
              <w:rPr>
                <w:rFonts w:ascii="Calibri" w:hAnsi="Calibri"/>
                <w:b/>
                <w:color w:val="30A46C"/>
                <w:sz w:val="22"/>
              </w:rPr>
              <w:t>+15.4%</w:t>
            </w:r>
          </w:p>
        </w:tc>
        <w:tc>
          <w:tcPr>
            <w:tcW w:type="dxa" w:w="1728"/>
          </w:tcPr>
          <w:p>
            <w:r>
              <w:rPr>
                <w:rFonts w:ascii="Calibri" w:hAnsi="Calibri"/>
                <w:sz w:val="22"/>
              </w:rPr>
              <w:t>Strong Beat</w:t>
            </w:r>
          </w:p>
        </w:tc>
      </w:tr>
      <w:tr>
        <w:tc>
          <w:tcPr>
            <w:tcW w:type="dxa" w:w="1728"/>
          </w:tcPr>
          <w:p>
            <w:r>
              <w:rPr>
                <w:rFonts w:ascii="Calibri" w:hAnsi="Calibri"/>
                <w:sz w:val="22"/>
              </w:rPr>
              <w:t>Q1 2026</w:t>
            </w:r>
          </w:p>
        </w:tc>
        <w:tc>
          <w:tcPr>
            <w:tcW w:type="dxa" w:w="1728"/>
          </w:tcPr>
          <w:p>
            <w:r>
              <w:rPr>
                <w:rFonts w:ascii="Calibri" w:hAnsi="Calibri"/>
                <w:sz w:val="22"/>
              </w:rPr>
              <w:t>$2.65</w:t>
            </w:r>
          </w:p>
        </w:tc>
        <w:tc>
          <w:tcPr>
            <w:tcW w:type="dxa" w:w="1728"/>
          </w:tcPr>
          <w:p>
            <w:r>
              <w:rPr>
                <w:rFonts w:ascii="Calibri" w:hAnsi="Calibri"/>
                <w:sz w:val="22"/>
              </w:rPr>
              <w:t>$2.51</w:t>
            </w:r>
          </w:p>
        </w:tc>
        <w:tc>
          <w:tcPr>
            <w:tcW w:type="dxa" w:w="1728"/>
          </w:tcPr>
          <w:p>
            <w:r>
              <w:rPr>
                <w:rFonts w:ascii="Calibri" w:hAnsi="Calibri"/>
                <w:b/>
                <w:color w:val="30A46C"/>
                <w:sz w:val="22"/>
              </w:rPr>
              <w:t>+5.6%</w:t>
            </w:r>
          </w:p>
        </w:tc>
        <w:tc>
          <w:tcPr>
            <w:tcW w:type="dxa" w:w="1728"/>
          </w:tcPr>
          <w:p>
            <w:r>
              <w:rPr>
                <w:rFonts w:ascii="Calibri" w:hAnsi="Calibri"/>
                <w:sz w:val="22"/>
              </w:rPr>
              <w:t>Beat</w:t>
            </w:r>
          </w:p>
        </w:tc>
      </w:tr>
    </w:tbl>
    <w:p>
      <w:r>
        <w:rPr>
          <w:rFonts w:ascii="Calibri" w:hAnsi="Calibri"/>
          <w:i/>
          <w:color w:val="525866"/>
          <w:sz w:val="22"/>
        </w:rPr>
        <w:t>NSC has beaten adj. EPS consensus in 6 of the last 8 quarters; the two slight misses (Q1 and Q2 2025) were driven by revenue shortfalls rather than cost overruns, reinforcing that cost execution is reliable but top-line is the variable. The Q4 2025 beat (+15.4%) was outsized due to land sales and favorable items.</w:t>
      </w:r>
    </w:p>
    <w:p>
      <w:r>
        <w:rPr>
          <w:rFonts w:ascii="Calibri" w:hAnsi="Calibri"/>
          <w: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unchanged since the Q1 2026 earnings call — management maintained the $8.2B–$8.4B adjusted operating cost envelope and reiterated ~200 bps sequential OR improvement into Q2 — but tone has shifted meaningfully more constructive on the top line, with management citing green shoots in manufacturing, domestic intermodal tailwinds from fuel prices, and a growing industrial development pipeline.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Call, Apr 24)</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Adj. Operating Ratio</w:t>
            </w:r>
          </w:p>
        </w:tc>
        <w:tc>
          <w:tcPr>
            <w:tcW w:type="dxa" w:w="1728"/>
          </w:tcPr>
          <w:p>
            <w:r>
              <w:rPr>
                <w:rFonts w:ascii="Calibri" w:hAnsi="Calibri"/>
                <w:sz w:val="22"/>
              </w:rPr>
              <w:t>~66.7% (200 bps sequential improvement from Q1's 68.7%)</w:t>
            </w:r>
          </w:p>
        </w:tc>
        <w:tc>
          <w:tcPr>
            <w:tcW w:type="dxa" w:w="1728"/>
          </w:tcPr>
          <w:p>
            <w:r>
              <w:rPr>
                <w:rFonts w:ascii="Calibri" w:hAnsi="Calibri"/>
                <w:sz w:val="22"/>
              </w:rPr>
              <w:t>—</w:t>
            </w:r>
          </w:p>
        </w:tc>
        <w:tc>
          <w:tcPr>
            <w:tcW w:type="dxa" w:w="1728"/>
          </w:tcPr>
          <w:p>
            <w:r>
              <w:rPr>
                <w:rFonts w:ascii="Calibri" w:hAnsi="Calibri"/>
                <w:sz w:val="22"/>
              </w:rPr>
              <w:t>66.3%</w:t>
            </w:r>
          </w:p>
        </w:tc>
        <w:tc>
          <w:tcPr>
            <w:tcW w:type="dxa" w:w="1728"/>
          </w:tcPr>
          <w:p>
            <w:r>
              <w:rPr>
                <w:rFonts w:ascii="Calibri" w:hAnsi="Calibri"/>
                <w:sz w:val="22"/>
              </w:rPr>
              <w:t>Unchanged; consensus slightly better than guidance midpoint. Fuel remains wildcard headwind in Q2.</w:t>
            </w:r>
          </w:p>
        </w:tc>
      </w:tr>
      <w:tr>
        <w:tc>
          <w:tcPr>
            <w:tcW w:type="dxa" w:w="1728"/>
          </w:tcPr>
          <w:p>
            <w:r>
              <w:rPr>
                <w:rFonts w:ascii="Calibri" w:hAnsi="Calibri"/>
                <w:sz w:val="22"/>
              </w:rPr>
              <w:t>Q2 2026 Revenue</w:t>
            </w:r>
          </w:p>
        </w:tc>
        <w:tc>
          <w:tcPr>
            <w:tcW w:type="dxa" w:w="1728"/>
          </w:tcPr>
          <w:p>
            <w:r>
              <w:rPr>
                <w:rFonts w:ascii="Calibri" w:hAnsi="Calibri"/>
                <w:sz w:val="22"/>
              </w:rPr>
              <w:t>Uptick from Q1 ($2.998B); no specific range given</w:t>
            </w:r>
          </w:p>
        </w:tc>
        <w:tc>
          <w:tcPr>
            <w:tcW w:type="dxa" w:w="1728"/>
          </w:tcPr>
          <w:p>
            <w:r>
              <w:rPr>
                <w:rFonts w:ascii="Calibri" w:hAnsi="Calibri"/>
                <w:sz w:val="22"/>
              </w:rPr>
              <w:t>—</w:t>
            </w:r>
          </w:p>
        </w:tc>
        <w:tc>
          <w:tcPr>
            <w:tcW w:type="dxa" w:w="1728"/>
          </w:tcPr>
          <w:p>
            <w:r>
              <w:rPr>
                <w:rFonts w:ascii="Calibri" w:hAnsi="Calibri"/>
                <w:sz w:val="22"/>
              </w:rPr>
              <w:t>$3.351B</w:t>
            </w:r>
          </w:p>
        </w:tc>
        <w:tc>
          <w:tcPr>
            <w:tcW w:type="dxa" w:w="1728"/>
          </w:tcPr>
          <w:p>
            <w:r>
              <w:rPr>
                <w:rFonts w:ascii="Calibri" w:hAnsi="Calibri"/>
                <w:sz w:val="22"/>
              </w:rPr>
              <w:t>Consensus has moved up significantly (+$139M) since post-earnings baseline of $3.212B, reflecting growing optimism on domestic intermodal and coal.</w:t>
            </w:r>
          </w:p>
        </w:tc>
      </w:tr>
      <w:tr>
        <w:tc>
          <w:tcPr>
            <w:tcW w:type="dxa" w:w="1728"/>
          </w:tcPr>
          <w:p>
            <w:r>
              <w:rPr>
                <w:rFonts w:ascii="Calibri" w:hAnsi="Calibri"/>
                <w:sz w:val="22"/>
              </w:rPr>
              <w:t>FY2026 Adj. Operating Cost Envelope</w:t>
            </w:r>
          </w:p>
        </w:tc>
        <w:tc>
          <w:tcPr>
            <w:tcW w:type="dxa" w:w="1728"/>
          </w:tcPr>
          <w:p>
            <w:r>
              <w:rPr>
                <w:rFonts w:ascii="Calibri" w:hAnsi="Calibri"/>
                <w:sz w:val="22"/>
              </w:rPr>
              <w:t>$8.2B–$8.4B</w:t>
            </w:r>
          </w:p>
        </w:tc>
        <w:tc>
          <w:tcPr>
            <w:tcW w:type="dxa" w:w="1728"/>
          </w:tcPr>
          <w:p>
            <w:r>
              <w:rPr>
                <w:rFonts w:ascii="Calibri" w:hAnsi="Calibri"/>
                <w:sz w:val="22"/>
              </w:rPr>
              <w:t>—</w:t>
            </w:r>
          </w:p>
        </w:tc>
        <w:tc>
          <w:tcPr>
            <w:tcW w:type="dxa" w:w="1728"/>
          </w:tcPr>
          <w:p>
            <w:r>
              <w:rPr>
                <w:rFonts w:ascii="Calibri" w:hAnsi="Calibri"/>
                <w:sz w:val="22"/>
              </w:rPr>
              <w:t>N/A (cost, not revenue)</w:t>
            </w:r>
          </w:p>
        </w:tc>
        <w:tc>
          <w:tcPr>
            <w:tcW w:type="dxa" w:w="1728"/>
          </w:tcPr>
          <w:p>
            <w:r>
              <w:rPr>
                <w:rFonts w:ascii="Calibri" w:hAnsi="Calibri"/>
                <w:sz w:val="22"/>
              </w:rPr>
              <w:t>Maintained despite fuel headwinds; management expressed confidence in cost control playbook.</w:t>
            </w:r>
          </w:p>
        </w:tc>
      </w:tr>
      <w:tr>
        <w:tc>
          <w:tcPr>
            <w:tcW w:type="dxa" w:w="1728"/>
          </w:tcPr>
          <w:p>
            <w:r>
              <w:rPr>
                <w:rFonts w:ascii="Calibri" w:hAnsi="Calibri"/>
                <w:sz w:val="22"/>
              </w:rPr>
              <w:t>FY2026 Productivity Savings</w:t>
            </w:r>
          </w:p>
        </w:tc>
        <w:tc>
          <w:tcPr>
            <w:tcW w:type="dxa" w:w="1728"/>
          </w:tcPr>
          <w:p>
            <w:r>
              <w:rPr>
                <w:rFonts w:ascii="Calibri" w:hAnsi="Calibri"/>
                <w:sz w:val="22"/>
              </w:rPr>
              <w:t>$150M+ target</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building on $500M+ delivered over prior 2 years. Volume-independent structural savings.</w:t>
            </w:r>
          </w:p>
        </w:tc>
      </w:tr>
      <w:tr>
        <w:tc>
          <w:tcPr>
            <w:tcW w:type="dxa" w:w="1728"/>
          </w:tcPr>
          <w:p>
            <w:r>
              <w:rPr>
                <w:rFonts w:ascii="Calibri" w:hAnsi="Calibri"/>
                <w:sz w:val="22"/>
              </w:rPr>
              <w:t>FY2026 Adj. EPS</w:t>
            </w:r>
          </w:p>
        </w:tc>
        <w:tc>
          <w:tcPr>
            <w:tcW w:type="dxa" w:w="1728"/>
          </w:tcPr>
          <w:p>
            <w:r>
              <w:rPr>
                <w:rFonts w:ascii="Calibri" w:hAnsi="Calibri"/>
                <w:sz w:val="22"/>
              </w:rPr>
              <w:t>No specific guidance provided</w:t>
            </w:r>
          </w:p>
        </w:tc>
        <w:tc>
          <w:tcPr>
            <w:tcW w:type="dxa" w:w="1728"/>
          </w:tcPr>
          <w:p>
            <w:r>
              <w:rPr>
                <w:rFonts w:ascii="Calibri" w:hAnsi="Calibri"/>
                <w:sz w:val="22"/>
              </w:rPr>
              <w:t>—</w:t>
            </w:r>
          </w:p>
        </w:tc>
        <w:tc>
          <w:tcPr>
            <w:tcW w:type="dxa" w:w="1728"/>
          </w:tcPr>
          <w:p>
            <w:r>
              <w:rPr>
                <w:rFonts w:ascii="Calibri" w:hAnsi="Calibri"/>
                <w:sz w:val="22"/>
              </w:rPr>
              <w:t>$12.37</w:t>
            </w:r>
          </w:p>
        </w:tc>
        <w:tc>
          <w:tcPr>
            <w:tcW w:type="dxa" w:w="1728"/>
          </w:tcPr>
          <w:p>
            <w:r>
              <w:rPr>
                <w:rFonts w:ascii="Calibri" w:hAnsi="Calibri"/>
                <w:sz w:val="22"/>
              </w:rPr>
              <w:t>No formal EPS guidance; consensus has drifted up from $12.02 at post-earnings baseline.</w:t>
            </w:r>
          </w:p>
        </w:tc>
      </w:tr>
      <w:tr>
        <w:tc>
          <w:tcPr>
            <w:tcW w:type="dxa" w:w="1728"/>
          </w:tcPr>
          <w:p>
            <w:r>
              <w:rPr>
                <w:rFonts w:ascii="Calibri" w:hAnsi="Calibri"/>
                <w:sz w:val="22"/>
              </w:rPr>
              <w:t>Fuel Outlook</w:t>
            </w:r>
          </w:p>
        </w:tc>
        <w:tc>
          <w:tcPr>
            <w:tcW w:type="dxa" w:w="1728"/>
          </w:tcPr>
          <w:p>
            <w:r>
              <w:rPr>
                <w:rFonts w:ascii="Calibri" w:hAnsi="Calibri"/>
                <w:sz w:val="22"/>
              </w:rPr>
              <w:t>Headwind in Q1 and Q2; tailwind expected in Q3/Q4 based on forward curve; net headwind for full year</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Unchanged; fuel surcharge lag (~2 months for merchandise/coal, ~2 weeks for intermodal) means Q2 still sees headwind from March/April price spike.</w:t>
            </w:r>
          </w:p>
        </w:tc>
      </w:tr>
      <w:tr>
        <w:tc>
          <w:tcPr>
            <w:tcW w:type="dxa" w:w="1728"/>
          </w:tcPr>
          <w:p>
            <w:r>
              <w:rPr>
                <w:rFonts w:ascii="Calibri" w:hAnsi="Calibri"/>
                <w:sz w:val="22"/>
              </w:rPr>
              <w:t>Merger (UP/NSC) Timeline</w:t>
            </w:r>
          </w:p>
        </w:tc>
        <w:tc>
          <w:tcPr>
            <w:tcW w:type="dxa" w:w="1728"/>
          </w:tcPr>
          <w:p>
            <w:r>
              <w:rPr>
                <w:rFonts w:ascii="Calibri" w:hAnsi="Calibri"/>
                <w:sz w:val="22"/>
              </w:rPr>
              <w:t>STB completeness decision deadline May 29; final decision expected summer 2027</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Application refiled Apr 30 with 100% traffic data; STB completeness decision still pending as of earnings date.</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decisively higher since the Q1 print — Q2 revenue consensus is up +$139M (+4.3%) and Q2 EPS is up +$0.18 (+6.1%) from the post-earnings baseline — suggesting the street has grown more constructive on the top line than management's cautious tone implied. </w:t>
      </w:r>
      <w:r>
        <w:rPr>
          <w:rFonts w:ascii="Calibri" w:hAnsi="Calibri"/>
          <w:color w:val="525866"/>
          <w:sz w:val="22"/>
        </w:rPr>
        <w:t>The gap between current consensus and management's guided OR (~66.3% vs. ~66.7%) represents a modest cushion, but the revenue revision magnitude means the bar has risen and any volume disappointment could sting.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(Apr 29, 2026)</w:t>
            </w:r>
          </w:p>
        </w:tc>
        <w:tc>
          <w:tcPr>
            <w:tcW w:type="dxa" w:w="1080"/>
            <w:shd w:val="clear" w:color="auto" w:fill="3B4259"/>
          </w:tcPr>
          <w:p>
            <w:r>
              <w:rPr>
                <w:rFonts w:ascii="Calibri" w:hAnsi="Calibri"/>
                <w:b/>
                <w:color w:val="FFFFFF"/>
                <w:sz w:val="22"/>
              </w:rPr>
              <w:t>Current Consensus (Jul 22,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w:t>
            </w:r>
          </w:p>
        </w:tc>
      </w:tr>
      <w:tr>
        <w:tc>
          <w:tcPr>
            <w:tcW w:type="dxa" w:w="1080"/>
          </w:tcPr>
          <w:p>
            <w:r>
              <w:rPr>
                <w:rFonts w:ascii="Calibri" w:hAnsi="Calibri"/>
                <w:sz w:val="22"/>
              </w:rPr>
              <w:t>Total Revenue — Q2 2026</w:t>
            </w:r>
          </w:p>
        </w:tc>
        <w:tc>
          <w:tcPr>
            <w:tcW w:type="dxa" w:w="1080"/>
          </w:tcPr>
          <w:p>
            <w:r>
              <w:rPr>
                <w:rFonts w:ascii="Calibri" w:hAnsi="Calibri"/>
                <w:sz w:val="22"/>
              </w:rPr>
              <w:t>$3.212B</w:t>
            </w:r>
          </w:p>
        </w:tc>
        <w:tc>
          <w:tcPr>
            <w:tcW w:type="dxa" w:w="1080"/>
          </w:tcPr>
          <w:p>
            <w:r>
              <w:rPr>
                <w:rFonts w:ascii="Calibri" w:hAnsi="Calibri"/>
                <w:sz w:val="22"/>
              </w:rPr>
              <w:t>$3.351B</w:t>
            </w:r>
          </w:p>
        </w:tc>
        <w:tc>
          <w:tcPr>
            <w:tcW w:type="dxa" w:w="1080"/>
          </w:tcPr>
          <w:p>
            <w:r>
              <w:rPr>
                <w:rFonts w:ascii="Calibri" w:hAnsi="Calibri"/>
                <w:b/>
                <w:color w:val="30A46C"/>
                <w:sz w:val="22"/>
              </w:rPr>
              <w:t>+4.3%</w:t>
            </w:r>
          </w:p>
        </w:tc>
        <w:tc>
          <w:tcPr>
            <w:tcW w:type="dxa" w:w="1080"/>
          </w:tcPr>
          <w:p>
            <w:r>
              <w:rPr>
                <w:rFonts w:ascii="Calibri" w:hAnsi="Calibri"/>
                <w:sz w:val="22"/>
              </w:rPr>
              <w:t>Uptick from Q1; no range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(no range)</w:t>
            </w:r>
          </w:p>
        </w:tc>
      </w:tr>
      <w:tr>
        <w:tc>
          <w:tcPr>
            <w:tcW w:type="dxa" w:w="1080"/>
          </w:tcPr>
          <w:p>
            <w:r>
              <w:rPr>
                <w:rFonts w:ascii="Calibri" w:hAnsi="Calibri"/>
                <w:sz w:val="22"/>
              </w:rPr>
              <w:t>Total Revenue — FY2026</w:t>
            </w:r>
          </w:p>
        </w:tc>
        <w:tc>
          <w:tcPr>
            <w:tcW w:type="dxa" w:w="1080"/>
          </w:tcPr>
          <w:p>
            <w:r>
              <w:rPr>
                <w:rFonts w:ascii="Calibri" w:hAnsi="Calibri"/>
                <w:sz w:val="22"/>
              </w:rPr>
              <w:t>$12.645B</w:t>
            </w:r>
          </w:p>
        </w:tc>
        <w:tc>
          <w:tcPr>
            <w:tcW w:type="dxa" w:w="1080"/>
          </w:tcPr>
          <w:p>
            <w:r>
              <w:rPr>
                <w:rFonts w:ascii="Calibri" w:hAnsi="Calibri"/>
                <w:sz w:val="22"/>
              </w:rPr>
              <w:t>$12.898B</w:t>
            </w:r>
          </w:p>
        </w:tc>
        <w:tc>
          <w:tcPr>
            <w:tcW w:type="dxa" w:w="1080"/>
          </w:tcPr>
          <w:p>
            <w:r>
              <w:rPr>
                <w:rFonts w:ascii="Calibri" w:hAnsi="Calibri"/>
                <w:b/>
                <w:color w:val="30A46C"/>
                <w:sz w:val="22"/>
              </w:rPr>
              <w:t>+2.0%</w:t>
            </w:r>
          </w:p>
        </w:tc>
        <w:tc>
          <w:tcPr>
            <w:tcW w:type="dxa" w:w="1080"/>
          </w:tcPr>
          <w:p>
            <w:r>
              <w:rPr>
                <w:rFonts w:ascii="Calibri" w:hAnsi="Calibri"/>
                <w:sz w:val="22"/>
              </w:rPr>
              <w:t>No formal FY revenue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Operating Ratio — Q2 2026</w:t>
            </w:r>
          </w:p>
        </w:tc>
        <w:tc>
          <w:tcPr>
            <w:tcW w:type="dxa" w:w="1080"/>
          </w:tcPr>
          <w:p>
            <w:r>
              <w:rPr>
                <w:rFonts w:ascii="Calibri" w:hAnsi="Calibri"/>
                <w:sz w:val="22"/>
              </w:rPr>
              <w:t>66.5%</w:t>
            </w:r>
          </w:p>
        </w:tc>
        <w:tc>
          <w:tcPr>
            <w:tcW w:type="dxa" w:w="1080"/>
          </w:tcPr>
          <w:p>
            <w:r>
              <w:rPr>
                <w:rFonts w:ascii="Calibri" w:hAnsi="Calibri"/>
                <w:sz w:val="22"/>
              </w:rPr>
              <w:t>66.3%</w:t>
            </w:r>
          </w:p>
        </w:tc>
        <w:tc>
          <w:tcPr>
            <w:tcW w:type="dxa" w:w="1080"/>
          </w:tcPr>
          <w:p>
            <w:r>
              <w:rPr>
                <w:rFonts w:ascii="Calibri" w:hAnsi="Calibri"/>
                <w:b/>
                <w:color w:val="30A46C"/>
                <w:sz w:val="22"/>
              </w:rPr>
              <w:t>-20 bps</w:t>
            </w:r>
          </w:p>
        </w:tc>
        <w:tc>
          <w:tcPr>
            <w:tcW w:type="dxa" w:w="1080"/>
          </w:tcPr>
          <w:p>
            <w:r>
              <w:rPr>
                <w:rFonts w:ascii="Calibri" w:hAnsi="Calibri"/>
                <w:sz w:val="22"/>
              </w:rPr>
              <w:t>~66.7% (200 bps seq. improvement)</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-40 bps vs. guidance (consensus better)</w:t>
            </w:r>
          </w:p>
        </w:tc>
      </w:tr>
      <w:tr>
        <w:tc>
          <w:tcPr>
            <w:tcW w:type="dxa" w:w="1080"/>
          </w:tcPr>
          <w:p>
            <w:r>
              <w:rPr>
                <w:rFonts w:ascii="Calibri" w:hAnsi="Calibri"/>
                <w:sz w:val="22"/>
              </w:rPr>
              <w:t>Adj. Operating Ratio — FY2026</w:t>
            </w:r>
          </w:p>
        </w:tc>
        <w:tc>
          <w:tcPr>
            <w:tcW w:type="dxa" w:w="1080"/>
          </w:tcPr>
          <w:p>
            <w:r>
              <w:rPr>
                <w:rFonts w:ascii="Calibri" w:hAnsi="Calibri"/>
                <w:sz w:val="22"/>
              </w:rPr>
              <w:t>66.9%</w:t>
            </w:r>
          </w:p>
        </w:tc>
        <w:tc>
          <w:tcPr>
            <w:tcW w:type="dxa" w:w="1080"/>
          </w:tcPr>
          <w:p>
            <w:r>
              <w:rPr>
                <w:rFonts w:ascii="Calibri" w:hAnsi="Calibri"/>
                <w:sz w:val="22"/>
              </w:rPr>
              <w:t>66.8%</w:t>
            </w:r>
          </w:p>
        </w:tc>
        <w:tc>
          <w:tcPr>
            <w:tcW w:type="dxa" w:w="1080"/>
          </w:tcPr>
          <w:p>
            <w:r>
              <w:rPr>
                <w:rFonts w:ascii="Calibri" w:hAnsi="Calibri"/>
                <w:b/>
                <w:color w:val="30A46C"/>
                <w:sz w:val="22"/>
              </w:rPr>
              <w:t>-10 bps</w:t>
            </w:r>
          </w:p>
        </w:tc>
        <w:tc>
          <w:tcPr>
            <w:tcW w:type="dxa" w:w="1080"/>
          </w:tcPr>
          <w:p>
            <w:r>
              <w:rPr>
                <w:rFonts w:ascii="Calibri" w:hAnsi="Calibri"/>
                <w:sz w:val="22"/>
              </w:rPr>
              <w:t>$8.2B–$8.4B cost envelope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 (cost, not OR)</w:t>
            </w:r>
          </w:p>
        </w:tc>
      </w:tr>
      <w:tr>
        <w:tc>
          <w:tcPr>
            <w:tcW w:type="dxa" w:w="1080"/>
          </w:tcPr>
          <w:p>
            <w:r>
              <w:rPr>
                <w:rFonts w:ascii="Calibri" w:hAnsi="Calibri"/>
                <w:sz w:val="22"/>
              </w:rPr>
              <w:t>Adj. EPS — Q2 2026</w:t>
            </w:r>
          </w:p>
        </w:tc>
        <w:tc>
          <w:tcPr>
            <w:tcW w:type="dxa" w:w="1080"/>
          </w:tcPr>
          <w:p>
            <w:r>
              <w:rPr>
                <w:rFonts w:ascii="Calibri" w:hAnsi="Calibri"/>
                <w:sz w:val="22"/>
              </w:rPr>
              <w:t>$3.10</w:t>
            </w:r>
          </w:p>
        </w:tc>
        <w:tc>
          <w:tcPr>
            <w:tcW w:type="dxa" w:w="1080"/>
          </w:tcPr>
          <w:p>
            <w:r>
              <w:rPr>
                <w:rFonts w:ascii="Calibri" w:hAnsi="Calibri"/>
                <w:sz w:val="22"/>
              </w:rPr>
              <w:t>$3.29</w:t>
            </w:r>
          </w:p>
        </w:tc>
        <w:tc>
          <w:tcPr>
            <w:tcW w:type="dxa" w:w="1080"/>
          </w:tcPr>
          <w:p>
            <w:r>
              <w:rPr>
                <w:rFonts w:ascii="Calibri" w:hAnsi="Calibri"/>
                <w:b/>
                <w:color w:val="30A46C"/>
                <w:sz w:val="22"/>
              </w:rPr>
              <w:t>+6.1%</w:t>
            </w:r>
          </w:p>
        </w:tc>
        <w:tc>
          <w:tcPr>
            <w:tcW w:type="dxa" w:w="1080"/>
          </w:tcPr>
          <w:p>
            <w:r>
              <w:rPr>
                <w:rFonts w:ascii="Calibri" w:hAnsi="Calibri"/>
                <w:sz w:val="22"/>
              </w:rPr>
              <w:t>No specific Q2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r>
        <w:tc>
          <w:tcPr>
            <w:tcW w:type="dxa" w:w="1080"/>
          </w:tcPr>
          <w:p>
            <w:r>
              <w:rPr>
                <w:rFonts w:ascii="Calibri" w:hAnsi="Calibri"/>
                <w:sz w:val="22"/>
              </w:rPr>
              <w:t>Adj. EPS — FY2026</w:t>
            </w:r>
          </w:p>
        </w:tc>
        <w:tc>
          <w:tcPr>
            <w:tcW w:type="dxa" w:w="1080"/>
          </w:tcPr>
          <w:p>
            <w:r>
              <w:rPr>
                <w:rFonts w:ascii="Calibri" w:hAnsi="Calibri"/>
                <w:sz w:val="22"/>
              </w:rPr>
              <w:t>$12.02</w:t>
            </w:r>
          </w:p>
        </w:tc>
        <w:tc>
          <w:tcPr>
            <w:tcW w:type="dxa" w:w="1080"/>
          </w:tcPr>
          <w:p>
            <w:r>
              <w:rPr>
                <w:rFonts w:ascii="Calibri" w:hAnsi="Calibri"/>
                <w:sz w:val="22"/>
              </w:rPr>
              <w:t>$12.37</w:t>
            </w:r>
          </w:p>
        </w:tc>
        <w:tc>
          <w:tcPr>
            <w:tcW w:type="dxa" w:w="1080"/>
          </w:tcPr>
          <w:p>
            <w:r>
              <w:rPr>
                <w:rFonts w:ascii="Calibri" w:hAnsi="Calibri"/>
                <w:b/>
                <w:color w:val="30A46C"/>
                <w:sz w:val="22"/>
              </w:rPr>
              <w:t>+2.9%</w:t>
            </w:r>
          </w:p>
        </w:tc>
        <w:tc>
          <w:tcPr>
            <w:tcW w:type="dxa" w:w="1080"/>
          </w:tcPr>
          <w:p>
            <w:r>
              <w:rPr>
                <w:rFonts w:ascii="Calibri" w:hAnsi="Calibri"/>
                <w:sz w:val="22"/>
              </w:rPr>
              <w:t>No formal FY EPS guidance</w:t>
            </w:r>
          </w:p>
        </w:tc>
        <w:tc>
          <w:tcPr>
            <w:tcW w:type="dxa" w:w="1080"/>
          </w:tcPr>
          <w:p>
            <w:r>
              <w:rPr>
                <w:rFonts w:ascii="Calibri" w:hAnsi="Calibri"/>
                <w:sz w:val="22"/>
              </w:rPr>
              <w:t>Unchanged</w:t>
            </w:r>
          </w:p>
        </w:tc>
        <w:tc>
          <w:tcPr>
            <w:tcW w:type="dxa" w:w="1080"/>
          </w:tcPr>
          <w:p>
            <w:r>
              <w:rPr>
                <w:rFonts w:ascii="Calibri" w:hAnsi="Calibri"/>
                <w:sz w:val="22"/>
              </w:rPr>
              <w:t>—</w:t>
            </w:r>
          </w:p>
        </w:tc>
        <w:tc>
          <w:tcPr>
            <w:tcW w:type="dxa" w:w="1080"/>
          </w:tcPr>
          <w:p>
            <w:r>
              <w:rPr>
                <w:rFonts w:ascii="Calibri" w:hAnsi="Calibri"/>
                <w:sz w:val="22"/>
              </w:rPr>
              <w:t>N/A</w:t>
            </w:r>
          </w:p>
        </w:tc>
      </w:tr>
    </w:tbl>
    <w:p>
      <w:r>
        <w:rPr>
          <w:rFonts w:ascii="Calibri" w:hAnsi="Calibri"/>
          <w:i/>
          <w:color w:val="525866"/>
          <w:sz w:val="22"/>
        </w:rPr>
        <w:t>The consistent upward drift in both revenue and EPS estimates since the Q1 print reflects the street pricing in domestic intermodal tailwinds (rising truck rates, higher fuel prices supporting modal conversion) and coal upside (Iran conflict driving export thermal demand). The OR estimate has also tightened slightly below management's guided level, implying the street expects cost execution to again outperform. The key risk is that the revenue revision magnitude (+4.3% for Q2) has raised the bar meaningfully, and any volume shortfall — particularly in intermodal where merger-related losses persist — could disappoint.</w:t>
      </w:r>
    </w:p>
    <w:p>
      <w:r>
        <w:rPr>
          <w:rFonts w:ascii="Calibri" w:hAnsi="Calibri"/>
          <w:i/>
          <w:color w:val="525866"/>
          <w:sz w:val="22"/>
        </w:rPr>
        <w:t>Source: Visible Alpha consensus and actuals data. Post-earnings baseline as of April 29, 2026 (5 trading days after Q1 2026 earnings on April 24,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NSC has underperformed both IYT (+8.1%) and the S&amp;P 500 (+4.7%) since the Q1 print, gaining only ~3.5% — the laggard performance reflects persistent merger overhang and revenue uncertainty rather than cost execution concerns, and suggests the stock has not priced in a beat, leaving room for a positive re-rating on a clean print.</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NSC vs. IYT (iShares Transportation ETF) vs. S&amp;P 500 — Indexed to 100 at Q1 2026 Earnings (April 24, 2026). Source: Yahoo Finance.</w:t>
      </w:r>
    </w:p>
    <w:p>
      <w:r>
        <w:rPr>
          <w:rFonts w:ascii="Calibri" w:hAnsi="Calibri"/>
          <w:color w:val="525866"/>
          <w:sz w:val="22"/>
        </w:rPr>
        <w:t>NSC closed at $330.94 on July 22, 2026, up +3.5% from the Q1 earnings close of $319.71. IYT gained +8.1% and SPY gained +4.7% over the same period. Key observations: (1) NSC initially sold off in the days following the Q1 print as the revenue miss and fuel headwinds weighed; (2) the stock found support in late May/early June as domestic intermodal data improved and the merger application refile was confirmed; (3) a notable rally in mid-July (stock touched $340 on July 17) likely reflects pre-earnings positioning and positive read-throughs from CSX's strong Q2 report; (4) the stock has pulled back modestly into the print, closing at $330.94 on July 22. The persistent underperformance vs. IYT reflects NSC-specific merger overhang and competitive share loss concerns that peers do not face.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the Q1 print is the April 30 refile of the Union Pacific merger application with 100% traffic data — the STB completeness decision (deadline was May 29) remains pending and is the single largest binary catalyst for the stock. Separately, the Iran conflict has created meaningful fuel cost headwinds but also opened export coal and intermodal conversion opportunities that are net positive for the top line.</w:t>
      </w:r>
    </w:p>
    <w:p>
      <w:pPr>
        <w:pStyle w:val="ListBullet"/>
        <w:ind w:left="360" w:hanging="360"/>
      </w:pPr>
      <w:r>
        <w:rPr>
          <w:rFonts w:ascii="Calibri" w:hAnsi="Calibri"/>
          <w:b/>
          <w:color w:val="525866"/>
          <w:sz w:val="22"/>
        </w:rPr>
        <w:t>April 30, 2026 — UP/NSC Merger Application Refiled with 100% Traffic Data:</w:t>
      </w:r>
      <w:r>
        <w:rPr>
          <w:rFonts w:ascii="Calibri" w:hAnsi="Calibri"/>
          <w:color w:val="525866"/>
          <w:sz w:val="22"/>
        </w:rPr>
        <w:t xml:space="preserve"> Norfolk Southern refiled its merger application with the STB using 100% of traffic data (vs. sample data in the original). The revised application produced modestly lower merchandise revenue synergies but higher intermodal conversion, with net synergy target modestly lower and CapEx needs modestly lower. Management characterized the overall thesis as unchanged and reinforced. STB completeness decision deadline was technically May 29; upon acceptance, STB will publish a definitive procedural schedule. Final merger decision now expected in summer 2027. </w:t>
      </w:r>
      <w:r>
        <w:rPr>
          <w:rFonts w:ascii="Calibri" w:hAnsi="Calibri"/>
          <w:i/>
          <w:color w:val="525866"/>
          <w:sz w:val="22"/>
        </w:rPr>
        <w:t>Implication: Any STB completeness acceptance is a significant positive catalyst; rejection or further delay extends uncertainty overhang.</w:t>
      </w:r>
    </w:p>
    <w:p>
      <w:pPr>
        <w:pStyle w:val="ListBullet"/>
        <w:ind w:left="360" w:hanging="360"/>
      </w:pPr>
      <w:r>
        <w:rPr>
          <w:rFonts w:ascii="Calibri" w:hAnsi="Calibri"/>
          <w:b/>
          <w:color w:val="525866"/>
          <w:sz w:val="22"/>
        </w:rPr>
        <w:t>April 24, 2026 — Q1 2026 Earnings: Beat on EPS, Miss on Revenue.</w:t>
      </w:r>
      <w:r>
        <w:rPr>
          <w:rFonts w:ascii="Calibri" w:hAnsi="Calibri"/>
          <w:color w:val="525866"/>
          <w:sz w:val="22"/>
        </w:rPr>
        <w:t xml:space="preserve"> Adj. EPS of $2.65 beat consensus of $2.51 (+5.6%); revenue of $2.998B missed consensus of $2.996B (essentially flat). Stock declined post-print as fuel cost headwinds and revenue softness offset the EPS beat. Management maintained full-year cost guidance and guided for ~200 bps sequential OR improvement into Q2. </w:t>
      </w:r>
      <w:r>
        <w:rPr>
          <w:rFonts w:ascii="Calibri" w:hAnsi="Calibri"/>
          <w:i/>
          <w:color w:val="525866"/>
          <w:sz w:val="22"/>
        </w:rPr>
        <w:t>Implication: Sets a manageable bar for Q2 with cost execution as the reliable anchor.</w:t>
      </w:r>
    </w:p>
    <w:p>
      <w:pPr>
        <w:pStyle w:val="ListBullet"/>
        <w:ind w:left="360" w:hanging="360"/>
      </w:pPr>
      <w:r>
        <w:rPr>
          <w:rFonts w:ascii="Calibri" w:hAnsi="Calibri"/>
          <w:b/>
          <w:color w:val="525866"/>
          <w:sz w:val="22"/>
        </w:rPr>
        <w:t>April 1, 2026 — Jaguar Transport Holdings Short Line Partnership (Doraville, GA):</w:t>
      </w:r>
      <w:r>
        <w:rPr>
          <w:rFonts w:ascii="Calibri" w:hAnsi="Calibri"/>
          <w:color w:val="525866"/>
          <w:sz w:val="22"/>
        </w:rPr>
        <w:t xml:space="preserve"> NSC announced an innovative short line partnership with Jaguar Transport Holdings focused on growth in a high-density switching corridor in metro Atlanta — a departure from the traditional efficiency-driven low-density short line model. Jaguar is also a Union Pacific short line partner, supporting eventual transcontinental network alignment. Management signaled intent to replicate this model in other markets. </w:t>
      </w:r>
      <w:r>
        <w:rPr>
          <w:rFonts w:ascii="Calibri" w:hAnsi="Calibri"/>
          <w:i/>
          <w:color w:val="525866"/>
          <w:sz w:val="22"/>
        </w:rPr>
        <w:t>Implication: Signals an evolving commercial strategy to extend network reach and capture first- and final-mile freight; modest near-term volume impact but strategically significant.</w:t>
      </w:r>
    </w:p>
    <w:p>
      <w:pPr>
        <w:pStyle w:val="ListBullet"/>
        <w:ind w:left="360" w:hanging="360"/>
      </w:pPr>
      <w:r>
        <w:rPr>
          <w:rFonts w:ascii="Calibri" w:hAnsi="Calibri"/>
          <w:b/>
          <w:color w:val="525866"/>
          <w:sz w:val="22"/>
        </w:rPr>
        <w:t>Ongoing — Iran Conflict / Energy Market Disruption:</w:t>
      </w:r>
      <w:r>
        <w:rPr>
          <w:rFonts w:ascii="Calibri" w:hAnsi="Calibri"/>
          <w:color w:val="525866"/>
          <w:sz w:val="22"/>
        </w:rPr>
        <w:t xml:space="preserve"> The conflict has driven sharply higher fuel prices (NSC paid ~45% more per gallon in March vs. prior year, with the same phenomenon continuing into April). However, the conflict is also opening export coal markets to U.S. thermal coal, driving NGL/plastics volumes, and improving the intermodal value proposition vs. highway as truck costs rise. Management identified ~$80–90/barrel oil as the historical sweet spot for intermodal conversion without triggering broader demand destruction. </w:t>
      </w:r>
      <w:r>
        <w:rPr>
          <w:rFonts w:ascii="Calibri" w:hAnsi="Calibri"/>
          <w:i/>
          <w:color w:val="525866"/>
          <w:sz w:val="22"/>
        </w:rPr>
        <w:t>Implication: Net impact is complex — fuel is a Q2 headwind (surcharge lag), but volume tailwinds from modal conversion and export coal are building.</w:t>
      </w:r>
    </w:p>
    <w:p>
      <w:pPr>
        <w:pStyle w:val="ListBullet"/>
        <w:ind w:left="360" w:hanging="360"/>
      </w:pPr>
      <w:r>
        <w:rPr>
          <w:rFonts w:ascii="Calibri" w:hAnsi="Calibri"/>
          <w:b/>
          <w:color w:val="525866"/>
          <w:sz w:val="22"/>
        </w:rPr>
        <w:t>May 12, 2026 — Wolfe Research Transportation Conference Presentation:</w:t>
      </w:r>
      <w:r>
        <w:rPr>
          <w:rFonts w:ascii="Calibri" w:hAnsi="Calibri"/>
          <w:color w:val="525866"/>
          <w:sz w:val="22"/>
        </w:rPr>
        <w:t xml:space="preserve"> NSC presented at the Wolfe Research 19th Annual Global Transportation &amp; Industrials Conference. No material guidance changes were disclosed. Management reiterated constructive tone on domestic intermodal and cost discipline. </w:t>
      </w:r>
      <w:r>
        <w:rPr>
          <w:rFonts w:ascii="Calibri" w:hAnsi="Calibri"/>
          <w:i/>
          <w:color w:val="525866"/>
          <w:sz w:val="22"/>
        </w:rPr>
        <w:t>Implication: No incremental negative signals; tone consistent with Q1 earnings call.</w:t>
      </w:r>
    </w:p>
    <w:p>
      <w:pPr>
        <w:pStyle w:val="ListBullet"/>
        <w:ind w:left="360" w:hanging="360"/>
      </w:pPr>
      <w:r>
        <w:rPr>
          <w:rFonts w:ascii="Calibri" w:hAnsi="Calibri"/>
          <w:b/>
          <w:color w:val="525866"/>
          <w:sz w:val="22"/>
        </w:rPr>
        <w:t>May 8, 2026 — Annual Shareholder Meeting:</w:t>
      </w:r>
      <w:r>
        <w:rPr>
          <w:rFonts w:ascii="Calibri" w:hAnsi="Calibri"/>
          <w:color w:val="525866"/>
          <w:sz w:val="22"/>
        </w:rPr>
        <w:t xml:space="preserve"> Shareholders elected directors, ratified auditor, and approved executive pay. No material governance changes. </w:t>
      </w:r>
      <w:r>
        <w:rPr>
          <w:rFonts w:ascii="Calibri" w:hAnsi="Calibri"/>
          <w:i/>
          <w:color w:val="525866"/>
          <w:sz w:val="22"/>
        </w:rPr>
        <w:t>Implication: Routine; no incremental read-through.</w:t>
      </w:r>
    </w:p>
    <w:p>
      <w:pPr>
        <w:pStyle w:val="ListBullet"/>
        <w:ind w:left="360" w:hanging="360"/>
      </w:pPr>
      <w:r>
        <w:rPr>
          <w:rFonts w:ascii="Calibri" w:hAnsi="Calibri"/>
          <w:b/>
          <w:color w:val="525866"/>
          <w:sz w:val="22"/>
        </w:rPr>
        <w:t>May 6, 2026 — Bank of America Industrials Conference Presentation:</w:t>
      </w:r>
      <w:r>
        <w:rPr>
          <w:rFonts w:ascii="Calibri" w:hAnsi="Calibri"/>
          <w:color w:val="525866"/>
          <w:sz w:val="22"/>
        </w:rPr>
        <w:t xml:space="preserve"> NSC presented at the BofA 2026 Industrials, Transportation &amp; Airlines Key Leaders Conference. No material guidance changes disclosed. </w:t>
      </w:r>
      <w:r>
        <w:rPr>
          <w:rFonts w:ascii="Calibri" w:hAnsi="Calibri"/>
          <w:i/>
          <w:color w:val="525866"/>
          <w:sz w:val="22"/>
        </w:rPr>
        <w:t>Implication: No incremental negative signals.</w:t>
      </w:r>
    </w:p>
    <w:p>
      <w:pPr>
        <w:pStyle w:val="ListBullet"/>
        <w:ind w:left="360" w:hanging="360"/>
      </w:pPr>
      <w:r>
        <w:rPr>
          <w:rFonts w:ascii="Calibri" w:hAnsi="Calibri"/>
          <w:b/>
          <w:color w:val="525866"/>
          <w:sz w:val="22"/>
        </w:rPr>
        <w:t>June 25, 2026 — Q2 2026 Earnings Date Announcement:</w:t>
      </w:r>
      <w:r>
        <w:rPr>
          <w:rFonts w:ascii="Calibri" w:hAnsi="Calibri"/>
          <w:color w:val="525866"/>
          <w:sz w:val="22"/>
        </w:rPr>
        <w:t xml:space="preserve"> NSC confirmed Q2 2026 earnings will be reported on July 23, 2026. </w:t>
      </w:r>
      <w:r>
        <w:rPr>
          <w:rFonts w:ascii="Calibri" w:hAnsi="Calibri"/>
          <w:i/>
          <w:color w:val="525866"/>
          <w:sz w:val="22"/>
        </w:rPr>
        <w:t>Implication: Routine announcement; confirms earnings date.</w:t>
      </w:r>
    </w:p>
    <w:p>
      <w:pPr>
        <w:pStyle w:val="ListBullet"/>
        <w:ind w:left="360" w:hanging="360"/>
      </w:pPr>
      <w:r>
        <w:rPr>
          <w:rFonts w:ascii="Calibri" w:hAnsi="Calibri"/>
          <w:b/>
          <w:color w:val="525866"/>
          <w:sz w:val="22"/>
        </w:rPr>
        <w:t>Ongoing — Housing Market Headwind:</w:t>
      </w:r>
      <w:r>
        <w:rPr>
          <w:rFonts w:ascii="Calibri" w:hAnsi="Calibri"/>
          <w:color w:val="525866"/>
          <w:sz w:val="22"/>
        </w:rPr>
        <w:t xml:space="preserve"> Management explicitly flagged housing as a meaningful volume exposure with no near-term recovery expected given the rate environment. Represents a drag on merchandise volumes tied to building materials and related commodities. </w:t>
      </w:r>
      <w:r>
        <w:rPr>
          <w:rFonts w:ascii="Calibri" w:hAnsi="Calibri"/>
          <w:i/>
          <w:color w:val="525866"/>
          <w:sz w:val="22"/>
        </w:rPr>
        <w:t>Implication: Persistent headwind for forest products and metals/construction carloads; consistent with peer commentary (CSX, CNI both flagging forest products weakness).</w:t>
      </w:r>
    </w:p>
    <w:p>
      <w:pPr>
        <w:pStyle w:val="ListBullet"/>
        <w:ind w:left="360" w:hanging="360"/>
      </w:pPr>
      <w:r>
        <w:rPr>
          <w:rFonts w:ascii="Calibri" w:hAnsi="Calibri"/>
          <w:b/>
          <w:color w:val="525866"/>
          <w:sz w:val="22"/>
        </w:rPr>
        <w:t>Ongoing — Merger-Related Competitive Responses:</w:t>
      </w:r>
      <w:r>
        <w:rPr>
          <w:rFonts w:ascii="Calibri" w:hAnsi="Calibri"/>
          <w:color w:val="525866"/>
          <w:sz w:val="22"/>
        </w:rPr>
        <w:t xml:space="preserve"> Competitors have formed alliances in response to the UP/NSC merger announcement, creating a known ~1% revenue headwind from enhanced competition. Management has characterized this as primarily an intermodal story playing out as anticipated. </w:t>
      </w:r>
      <w:r>
        <w:rPr>
          <w:rFonts w:ascii="Calibri" w:hAnsi="Calibri"/>
          <w:i/>
          <w:color w:val="525866"/>
          <w:sz w:val="22"/>
        </w:rPr>
        <w:t>Implication: Ongoing drag on intermodal volumes; management is fighting for quality revenue but acknowledges the headwind.</w:t>
      </w:r>
    </w:p>
    <w:p>
      <w:r>
        <w:br w:type="page"/>
      </w:r>
    </w:p>
    <w:p>
      <w:pPr>
        <w:pStyle w:val="Heading2"/>
      </w:pPr>
      <w:r>
        <w:rPr>
          <w:rFonts w:ascii="Calibri" w:hAnsi="Calibri"/>
          <w:b/>
          <w:color w:val="3B4259"/>
          <w:sz w:val="28"/>
        </w:rPr>
        <w:t>7. Peer Commentaries — Q2 2026 Read-Through</w:t>
      </w:r>
    </w:p>
    <w:p>
      <w:r>
        <w:rPr>
          <w:rFonts w:ascii="Calibri" w:hAnsi="Calibri"/>
          <w:b/>
          <w:color w:val="525866"/>
          <w:sz w:val="22"/>
        </w:rPr>
        <w:t xml:space="preserve">Key Takeaway: </w:t>
      </w:r>
      <w:r>
        <w:rPr>
          <w:rFonts w:ascii="Calibri" w:hAnsi="Calibri"/>
          <w:color w:val="525866"/>
          <w:sz w:val="22"/>
        </w:rPr>
        <w:t xml:space="preserve">Peer commentary is broadly constructive for NSC's Q2 print — CSX just reported a blowout Q2 (volume +6% YoY, revenue +10% to a new quarterly record) with domestic intermodal as the standout, directly validating NSC's bullish domestic non-premium intermodal thesis. </w:t>
      </w:r>
      <w:r>
        <w:rPr>
          <w:rFonts w:ascii="Calibri" w:hAnsi="Calibri"/>
          <w:color w:val="525866"/>
          <w:sz w:val="22"/>
        </w:rPr>
        <w:t>The universal fuel surcharge lag headwind (~200 bps OR impact flagged by CNI, similar dynamics at UNP and CSX) is already embedded in NSC's guided OR, so the read-through on that front is neutral. The key NSC-specific risk is whether merger-related competitive losses offset the industry-wide volume tailwinds that peers are capturing.</w:t>
      </w:r>
    </w:p>
    <w:p>
      <w:r>
        <w:rPr>
          <w:rFonts w:ascii="Calibri" w:hAnsi="Calibri"/>
          <w:i/>
          <w:color w:val="525866"/>
          <w:sz w:val="22"/>
        </w:rPr>
        <w:t>Note: Only commentary from peers about Q2 2026 (the current reporting quarter) or forward-looking commentary made after their Q1 2026 earnings is included. Prior-quarter results commentary is excluded.</w:t>
      </w:r>
    </w:p>
    <w:p>
      <w:pPr>
        <w:pStyle w:val="Heading3"/>
      </w:pPr>
      <w:r>
        <w:rPr>
          <w:rFonts w:ascii="Calibri" w:hAnsi="Calibri"/>
          <w:b/>
          <w:color w:val="3B4259"/>
          <w:sz w:val="24"/>
        </w:rPr>
        <w:t>CSX Corporation (CSX) — Q2 2026 Earnings (Reported July 22, 2026)</w:t>
      </w:r>
    </w:p>
    <w:p>
      <w:r>
        <w:rPr>
          <w:rFonts w:ascii="Calibri" w:hAnsi="Calibri"/>
          <w:b/>
          <w:color w:val="525866"/>
          <w:sz w:val="22"/>
        </w:rPr>
        <w:t xml:space="preserve">Read-Through Signal: </w:t>
      </w:r>
      <w:r>
        <w:rPr>
          <w:rFonts w:ascii="Calibri" w:hAnsi="Calibri"/>
          <w:b/>
          <w:color w:val="525866"/>
          <w:sz w:val="22"/>
        </w:rPr>
        <w:t>Strongly Positive for NSC volumes; Neutral-to-Negative on OR (fuel lag headwind confirmed).</w:t>
      </w:r>
    </w:p>
    <w:p>
      <w:pPr>
        <w:pStyle w:val="ListBullet"/>
        <w:ind w:left="360" w:hanging="360"/>
      </w:pPr>
      <w:r>
        <w:rPr>
          <w:rFonts w:ascii="Calibri" w:hAnsi="Calibri"/>
          <w:b/>
          <w:color w:val="525866"/>
          <w:sz w:val="22"/>
        </w:rPr>
        <w:t>Volume Blowout — Directly Validates NSC's Intermodal Thesis:</w:t>
      </w:r>
      <w:r>
        <w:rPr>
          <w:rFonts w:ascii="Calibri" w:hAnsi="Calibri"/>
          <w:color w:val="525866"/>
          <w:sz w:val="22"/>
        </w:rPr>
        <w:t xml:space="preserve"> CSX reported total volume +6% YoY in Q2 2026, with total revenue up 10% to a new quarterly record. Intermodal was the largest contributor to unit growth, with revenue up 26% on 9% higher volume. CSX's CFO Kevin Boone noted that carloads were running up ~4.5% quarter-to-date as of the May BofA conference, and early Q3 units are "running up. Maybe 6.5%." This is a strong positive read-through for NSC's domestic intermodal volumes, which management guided bullishly on domestic non-premium.</w:t>
      </w:r>
    </w:p>
    <w:p>
      <w:pPr>
        <w:pStyle w:val="ListBullet"/>
        <w:ind w:left="360" w:hanging="360"/>
      </w:pPr>
      <w:r>
        <w:rPr>
          <w:rFonts w:ascii="Calibri" w:hAnsi="Calibri"/>
          <w:b/>
          <w:color w:val="525866"/>
          <w:sz w:val="22"/>
        </w:rPr>
        <w:t>Domestic Intermodal Strength from Truck-to-Rail Conversion:</w:t>
      </w:r>
      <w:r>
        <w:rPr>
          <w:rFonts w:ascii="Calibri" w:hAnsi="Calibri"/>
          <w:color w:val="525866"/>
          <w:sz w:val="22"/>
        </w:rPr>
        <w:t xml:space="preserve"> CSX cited "tightening trucking market" and "accelerated truck-to-rail conversions" as key drivers, with the Howard Street Tunnel enabling double-stack service and adding incremental loads. CSX noted "capacity on many of our trains," allowing rapid business absorption. This directly supports NSC's thesis that higher fuel prices and tightening truck supply are driving domestic intermodal conversion — NSC's Ed Elkins was "bullish on domestic non-premium intermodal for the rest of the year."</w:t>
      </w:r>
    </w:p>
    <w:p>
      <w:pPr>
        <w:pStyle w:val="ListBullet"/>
        <w:ind w:left="360" w:hanging="360"/>
      </w:pPr>
      <w:r>
        <w:rPr>
          <w:rFonts w:ascii="Calibri" w:hAnsi="Calibri"/>
          <w:b/>
          <w:color w:val="525866"/>
          <w:sz w:val="22"/>
        </w:rPr>
        <w:t>Merchandise Broad-Based Strength:</w:t>
      </w:r>
      <w:r>
        <w:rPr>
          <w:rFonts w:ascii="Calibri" w:hAnsi="Calibri"/>
          <w:color w:val="525866"/>
          <w:sz w:val="22"/>
        </w:rPr>
        <w:t xml:space="preserve"> CSX reported merchandise volume +4% YoY with revenue +8%, with "six of seven business units growing or holding flat." Chemicals volume +8% (plastics exports, waste by rail), metals +14% revenue on 3% higher volume (new mills, military/equipment). Forest products flat YoY — a "significant improvement from Q1" due to truck-to-rail conversions. This is a positive read-through for NSC's merchandise segment, though NSC faces the additional headwind of housing exposure.</w:t>
      </w:r>
    </w:p>
    <w:p>
      <w:pPr>
        <w:pStyle w:val="ListBullet"/>
        <w:ind w:left="360" w:hanging="360"/>
      </w:pPr>
      <w:r>
        <w:rPr>
          <w:rFonts w:ascii="Calibri" w:hAnsi="Calibri"/>
          <w:b/>
          <w:color w:val="525866"/>
          <w:sz w:val="22"/>
        </w:rPr>
        <w:t>Coal: Export Tonnage +12% YoY — Positive for NSC Export Thermal:</w:t>
      </w:r>
      <w:r>
        <w:rPr>
          <w:rFonts w:ascii="Calibri" w:hAnsi="Calibri"/>
          <w:color w:val="525866"/>
          <w:sz w:val="22"/>
        </w:rPr>
        <w:t xml:space="preserve"> CSX reported coal revenue +9% on 4% higher volume, with export tonnage +12% YoY driven by mine restarts and a "best ever four month stretch of tonnage through Curtis Bay." Domestic coal -2% due to lower natural gas prices and normalized inventories. This is a direct positive read-through for NSC's export thermal coal thesis (Iran conflict opening global markets to U.S. coal), though NSC's domestic utility coal should remain strong.</w:t>
      </w:r>
    </w:p>
    <w:p>
      <w:pPr>
        <w:pStyle w:val="ListBullet"/>
        <w:ind w:left="360" w:hanging="360"/>
      </w:pPr>
      <w:r>
        <w:rPr>
          <w:rFonts w:ascii="Calibri" w:hAnsi="Calibri"/>
          <w:b/>
          <w:color w:val="525866"/>
          <w:sz w:val="22"/>
        </w:rPr>
        <w:t>Fuel Surcharge Lag — Confirmed Headwind but Fading:</w:t>
      </w:r>
      <w:r>
        <w:rPr>
          <w:rFonts w:ascii="Calibri" w:hAnsi="Calibri"/>
          <w:color w:val="525866"/>
          <w:sz w:val="22"/>
        </w:rPr>
        <w:t xml:space="preserve"> CSX noted a "fuel lag in the second quarter" that "should go away" in Q3, and expects "some benefit quarter over quarter" from fuel moving from Q2 to Q3. This confirms the fuel surcharge lag headwind is real and embedded in Q2 results for all Eastern rails — neutral read-through for NSC since this is already in management's guided OR.</w:t>
      </w:r>
    </w:p>
    <w:p>
      <w:pPr>
        <w:pStyle w:val="ListBullet"/>
        <w:ind w:left="360" w:hanging="360"/>
      </w:pPr>
      <w:r>
        <w:rPr>
          <w:rFonts w:ascii="Calibri" w:hAnsi="Calibri"/>
          <w:b/>
          <w:color w:val="525866"/>
          <w:sz w:val="22"/>
        </w:rPr>
        <w:t>Updated Full-Year Guidance Raised:</w:t>
      </w:r>
      <w:r>
        <w:rPr>
          <w:rFonts w:ascii="Calibri" w:hAnsi="Calibri"/>
          <w:color w:val="525866"/>
          <w:sz w:val="22"/>
        </w:rPr>
        <w:t xml:space="preserve"> CSX raised its 2026 outlook to "full year revenue growth in the mid to high single digits," "operating margin expansion of greater than 350 basis points," and "free cash flow growth of greater than 80%." This is a strong positive signal for the rail sector broadly, though NSC faces merger-specific headwinds that CSX does not.</w:t>
      </w:r>
    </w:p>
    <w:p>
      <w:pPr>
        <w:pStyle w:val="ListBullet"/>
        <w:ind w:left="360" w:hanging="360"/>
      </w:pPr>
      <w:r>
        <w:rPr>
          <w:rFonts w:ascii="Calibri" w:hAnsi="Calibri"/>
          <w:b/>
          <w:color w:val="525866"/>
          <w:sz w:val="22"/>
        </w:rPr>
        <w:t>Pricing Improving:</w:t>
      </w:r>
      <w:r>
        <w:rPr>
          <w:rFonts w:ascii="Calibri" w:hAnsi="Calibri"/>
          <w:color w:val="525866"/>
          <w:sz w:val="22"/>
        </w:rPr>
        <w:t xml:space="preserve"> CSX noted core revenues "turned positive to low single digits in Q2" after being slightly negative in Q1, and expects "same store sales pricing to be stronger this year than last year." Domestic intermodal spot pricing has "accelerated." Positive read-through for NSC's pricing outlook, particularly in intermodal where truck rates are rising.</w:t>
      </w:r>
    </w:p>
    <w:p>
      <w:pPr>
        <w:pStyle w:val="Heading3"/>
      </w:pPr>
      <w:r>
        <w:rPr>
          <w:rFonts w:ascii="Calibri" w:hAnsi="Calibri"/>
          <w:b/>
          <w:color w:val="3B4259"/>
          <w:sz w:val="24"/>
        </w:rPr>
        <w:t>Union Pacific (UNP) — Wolfe Research Transportation Conference (May 20, 2026)</w:t>
      </w:r>
    </w:p>
    <w:p>
      <w:r>
        <w:rPr>
          <w:rFonts w:ascii="Calibri" w:hAnsi="Calibri"/>
          <w:b/>
          <w:color w:val="525866"/>
          <w:sz w:val="22"/>
        </w:rPr>
        <w:t xml:space="preserve">Read-Through Signal: </w:t>
      </w:r>
      <w:r>
        <w:rPr>
          <w:rFonts w:ascii="Calibri" w:hAnsi="Calibri"/>
          <w:b/>
          <w:color w:val="525866"/>
          <w:sz w:val="22"/>
        </w:rPr>
        <w:t>Mixed — Positive on domestic intermodal and industrial chemicals; Negative on coal (UNP coal -14% YoY, though driven by Western-specific factors); Neutral on fuel (same lag dynamics).</w:t>
      </w:r>
    </w:p>
    <w:p>
      <w:pPr>
        <w:pStyle w:val="ListBullet"/>
        <w:ind w:left="360" w:hanging="360"/>
      </w:pPr>
      <w:r>
        <w:rPr>
          <w:rFonts w:ascii="Calibri" w:hAnsi="Calibri"/>
          <w:b/>
          <w:color w:val="525866"/>
          <w:sz w:val="22"/>
        </w:rPr>
        <w:t>Overall Volumes Up ~1% QTD (as of May 20):</w:t>
      </w:r>
      <w:r>
        <w:rPr>
          <w:rFonts w:ascii="Calibri" w:hAnsi="Calibri"/>
          <w:color w:val="525866"/>
          <w:sz w:val="22"/>
        </w:rPr>
        <w:t xml:space="preserve"> UNP reported overall volumes up about 1% quarter-to-date, supported by strong service product and franchise diversity. Modest read-through for NSC — UNP's Western franchise has different commodity exposure, but the directional signal is positive for rail demand broadly.</w:t>
      </w:r>
    </w:p>
    <w:p>
      <w:pPr>
        <w:pStyle w:val="ListBullet"/>
        <w:ind w:left="360" w:hanging="360"/>
      </w:pPr>
      <w:r>
        <w:rPr>
          <w:rFonts w:ascii="Calibri" w:hAnsi="Calibri"/>
          <w:b/>
          <w:color w:val="525866"/>
          <w:sz w:val="22"/>
        </w:rPr>
        <w:t>Domestic Intermodal: "Another Very Strong Domestic Quarter":</w:t>
      </w:r>
      <w:r>
        <w:rPr>
          <w:rFonts w:ascii="Calibri" w:hAnsi="Calibri"/>
          <w:color w:val="525866"/>
          <w:sz w:val="22"/>
        </w:rPr>
        <w:t xml:space="preserve"> UNP cited "continued strength" on the domestic side, with Q2 expected to be "another very strong domestic quarter" following three consecutive quarters of record domestic growth. Finished vehicles also up. This is a strong positive read-through for NSC's domestic non-premium intermodal thesis.</w:t>
      </w:r>
    </w:p>
    <w:p>
      <w:pPr>
        <w:pStyle w:val="ListBullet"/>
        <w:ind w:left="360" w:hanging="360"/>
      </w:pPr>
      <w:r>
        <w:rPr>
          <w:rFonts w:ascii="Calibri" w:hAnsi="Calibri"/>
          <w:b/>
          <w:color w:val="525866"/>
          <w:sz w:val="22"/>
        </w:rPr>
        <w:t>International Intermodal at "Low Point" of YoY Comparison:</w:t>
      </w:r>
      <w:r>
        <w:rPr>
          <w:rFonts w:ascii="Calibri" w:hAnsi="Calibri"/>
          <w:color w:val="525866"/>
          <w:sz w:val="22"/>
        </w:rPr>
        <w:t xml:space="preserve"> UNP noted it was "hitting kind of the low point" of the year-over-year comparison for international intermodal, with comparisons expected to get "a little bit tougher" through June/July before looking "softer through the rest of 2026." This is consistent with NSC's guidance that international volumes will "remain soft due to continued tariff volatility and trade pressures."</w:t>
      </w:r>
    </w:p>
    <w:p>
      <w:pPr>
        <w:pStyle w:val="ListBullet"/>
        <w:ind w:left="360" w:hanging="360"/>
      </w:pPr>
      <w:r>
        <w:rPr>
          <w:rFonts w:ascii="Calibri" w:hAnsi="Calibri"/>
          <w:b/>
          <w:color w:val="525866"/>
          <w:sz w:val="22"/>
        </w:rPr>
        <w:t>Industrial Chemicals &amp; Plastics +6% — Positive for NSC Chemicals:</w:t>
      </w:r>
      <w:r>
        <w:rPr>
          <w:rFonts w:ascii="Calibri" w:hAnsi="Calibri"/>
          <w:color w:val="525866"/>
          <w:sz w:val="22"/>
        </w:rPr>
        <w:t xml:space="preserve"> UNP's industrial segment up 4%, with industrial chemicals and plastics +6% driven by low natural gas prices and stronger export demand. Metals and minerals +5% on strong construction. Positive read-through for NSC's chemicals and merchandise franchise.</w:t>
      </w:r>
    </w:p>
    <w:p>
      <w:pPr>
        <w:pStyle w:val="ListBullet"/>
        <w:ind w:left="360" w:hanging="360"/>
      </w:pPr>
      <w:r>
        <w:rPr>
          <w:rFonts w:ascii="Calibri" w:hAnsi="Calibri"/>
          <w:b/>
          <w:color w:val="525866"/>
          <w:sz w:val="22"/>
        </w:rPr>
        <w:t>Coal -14% YoY — Western-Specific, Not a Direct NSC Read-Through:</w:t>
      </w:r>
      <w:r>
        <w:rPr>
          <w:rFonts w:ascii="Calibri" w:hAnsi="Calibri"/>
          <w:color w:val="525866"/>
          <w:sz w:val="22"/>
        </w:rPr>
        <w:t xml:space="preserve"> UNP coal volumes down ~14% YoY due to lapping a prior-year contract win (LCRA), normal shoulder season, milder spring weather, plant outages, and lower natural gas prices. Management expects coal to "come back some as we get into the summer months." This is largely a Western/UNP-specific dynamic — NSC's Eastern utility coal franchise has different drivers (stockpile replenishment, AI-driven power demand) and should perform better.</w:t>
      </w:r>
    </w:p>
    <w:p>
      <w:pPr>
        <w:pStyle w:val="ListBullet"/>
        <w:ind w:left="360" w:hanging="360"/>
      </w:pPr>
      <w:r>
        <w:rPr>
          <w:rFonts w:ascii="Calibri" w:hAnsi="Calibri"/>
          <w:b/>
          <w:color w:val="525866"/>
          <w:sz w:val="22"/>
        </w:rPr>
        <w:t>Fuel at ~$4.20-$4.25/Gallon — Confirms Headwind:</w:t>
      </w:r>
      <w:r>
        <w:rPr>
          <w:rFonts w:ascii="Calibri" w:hAnsi="Calibri"/>
          <w:color w:val="525866"/>
          <w:sz w:val="22"/>
        </w:rPr>
        <w:t xml:space="preserve"> UNP noted fuel prices at ~$4/gallon in April, rising to ~$4.25/gallon in May, with a "little bit of a lag" in surcharge mechanisms. "Just the way the math works, it pressures the margins." Consistent with NSC's fuel headwind guidance for Q2.</w:t>
      </w:r>
    </w:p>
    <w:p>
      <w:pPr>
        <w:pStyle w:val="ListBullet"/>
        <w:ind w:left="360" w:hanging="360"/>
      </w:pPr>
      <w:r>
        <w:rPr>
          <w:rFonts w:ascii="Calibri" w:hAnsi="Calibri"/>
          <w:b/>
          <w:color w:val="525866"/>
          <w:sz w:val="22"/>
        </w:rPr>
        <w:t>Pricing: "We Need to Do a Better Job":</w:t>
      </w:r>
      <w:r>
        <w:rPr>
          <w:rFonts w:ascii="Calibri" w:hAnsi="Calibri"/>
          <w:color w:val="525866"/>
          <w:sz w:val="22"/>
        </w:rPr>
        <w:t xml:space="preserve"> UNP management acknowledged they "don't think we're in the right place with price against what the level of service and what the customers have gained" and need to "do a better job." This is a UNP-specific issue and actually a mild positive read-through for NSC, which has been more aggressive on pricing and expressed satisfaction with core price levels.</w:t>
      </w:r>
    </w:p>
    <w:p>
      <w:pPr>
        <w:pStyle w:val="Heading3"/>
      </w:pPr>
      <w:r>
        <w:rPr>
          <w:rFonts w:ascii="Calibri" w:hAnsi="Calibri"/>
          <w:b/>
          <w:color w:val="3B4259"/>
          <w:sz w:val="24"/>
        </w:rPr>
        <w:t>Canadian National Railway (CNI) — Q1 2026 Earnings (April 29, 2026) + Conference Commentary (May–June 2026)</w:t>
      </w:r>
    </w:p>
    <w:p>
      <w:r>
        <w:rPr>
          <w:rFonts w:ascii="Calibri" w:hAnsi="Calibri"/>
          <w:b/>
          <w:color w:val="525866"/>
          <w:sz w:val="22"/>
        </w:rPr>
        <w:t xml:space="preserve">Read-Through Signal: </w:t>
      </w:r>
      <w:r>
        <w:rPr>
          <w:rFonts w:ascii="Calibri" w:hAnsi="Calibri"/>
          <w:b/>
          <w:color w:val="525866"/>
          <w:sz w:val="22"/>
        </w:rPr>
        <w:t>Positive on volumes (CNI volumes tracking ahead of expectations in Q2), fuel surcharge dynamics, and domestic intermodal; Cautious on macro/tariff uncertainty and forest products (housing headwind). Fuel lag headwind of ~200 bps OR / ~$0.03-$0.04 EPS confirmed across the industry.</w:t>
      </w:r>
    </w:p>
    <w:p>
      <w:pPr>
        <w:pStyle w:val="ListBullet"/>
        <w:ind w:left="360" w:hanging="360"/>
      </w:pPr>
      <w:r>
        <w:rPr>
          <w:rFonts w:ascii="Calibri" w:hAnsi="Calibri"/>
          <w:b/>
          <w:color w:val="525866"/>
          <w:sz w:val="22"/>
        </w:rPr>
        <w:t>Q2 Volumes Tracking Ahead of Expectations (CNI Q1 Earnings, Apr 29):</w:t>
      </w:r>
      <w:r>
        <w:rPr>
          <w:rFonts w:ascii="Calibri" w:hAnsi="Calibri"/>
          <w:color w:val="525866"/>
          <w:sz w:val="22"/>
        </w:rPr>
        <w:t xml:space="preserve"> CNI's CCO Janet Drysdale stated "Q2 may be a little bit more challenged" but volumes through April/May were "a little higher than we expected." RTMs tracking at approximately +4% QTD as of the Wells Fargo conference (June 11), "a bit ahead of expectations, largely driven by grain." Positive read-through for rail demand broadly, though CNI's grain/energy franchise is different from NSC's Eastern merchandise/intermodal mix.</w:t>
      </w:r>
    </w:p>
    <w:p>
      <w:pPr>
        <w:pStyle w:val="ListBullet"/>
        <w:ind w:left="360" w:hanging="360"/>
      </w:pPr>
      <w:r>
        <w:rPr>
          <w:rFonts w:ascii="Calibri" w:hAnsi="Calibri"/>
          <w:b/>
          <w:color w:val="525866"/>
          <w:sz w:val="22"/>
        </w:rPr>
        <w:t>Domestic Intermodal: Fifth Consecutive Quarter of Growth (CNI Bernstein, May 27):</w:t>
      </w:r>
      <w:r>
        <w:rPr>
          <w:rFonts w:ascii="Calibri" w:hAnsi="Calibri"/>
          <w:color w:val="525866"/>
          <w:sz w:val="22"/>
        </w:rPr>
        <w:t xml:space="preserve"> CNI reported its "fifth consecutive quarter of domestic intermodal growth" and noted "capacity tighten in truck markets, both in the U.S. and in Canada, and that is supportive of pricing." Directly validates NSC's domestic intermodal thesis. CNI also noted it was "selling into capacity" on non-peak days, suggesting available capacity to absorb incremental volume.</w:t>
      </w:r>
    </w:p>
    <w:p>
      <w:pPr>
        <w:pStyle w:val="ListBullet"/>
        <w:ind w:left="360" w:hanging="360"/>
      </w:pPr>
      <w:r>
        <w:rPr>
          <w:rFonts w:ascii="Calibri" w:hAnsi="Calibri"/>
          <w:b/>
          <w:color w:val="525866"/>
          <w:sz w:val="22"/>
        </w:rPr>
        <w:t>Fuel: "The Dark Cloud" — 200+ bps OR Headwind Confirmed (CNI Q1 Earnings):</w:t>
      </w:r>
      <w:r>
        <w:rPr>
          <w:rFonts w:ascii="Calibri" w:hAnsi="Calibri"/>
          <w:color w:val="525866"/>
          <w:sz w:val="22"/>
        </w:rPr>
        <w:t xml:space="preserve"> CNI CFO Ghislain Houle called fuel "the dark cloud I'm seeing right now in Q2" — if fuel prices remain at current levels, "that could be a hit on the OR north of 200 basis points and a small hit on EPS of about a couple of pennies." CNI updated its WTI assumption from $60-$70/barrel to $80-$110/barrel. This is a direct read-through for NSC's Q2 fuel headwind, which management also flagged explicitly. The silver lining: fuel is expected to be a tailwind in H2 2026 for all rails.</w:t>
      </w:r>
    </w:p>
    <w:p>
      <w:pPr>
        <w:pStyle w:val="ListBullet"/>
        <w:ind w:left="360" w:hanging="360"/>
      </w:pPr>
      <w:r>
        <w:rPr>
          <w:rFonts w:ascii="Calibri" w:hAnsi="Calibri"/>
          <w:b/>
          <w:color w:val="525866"/>
          <w:sz w:val="22"/>
        </w:rPr>
        <w:t>Fuel Surcharge Tailwind in H2 2026 (CNI Wells Fargo, June 11):</w:t>
      </w:r>
      <w:r>
        <w:rPr>
          <w:rFonts w:ascii="Calibri" w:hAnsi="Calibri"/>
          <w:color w:val="525866"/>
          <w:sz w:val="22"/>
        </w:rPr>
        <w:t xml:space="preserve"> CNI noted that "all of the rails are going to benefit from the fuel surcharge" and that fuel dynamics will be "a big contributor to some sequential revenue growth" in Q2 vs. Q1. CNI's Patrick Whitehead confirmed the fuel surcharge lag impact of "somewhere around 3 to 4 pennies of EPS and 200/200 basis points on the OR" for Q2. Consistent with NSC's guided fuel headwind; the lag structure means Q2 is the peak pain point before surcharges catch up.</w:t>
      </w:r>
    </w:p>
    <w:p>
      <w:pPr>
        <w:pStyle w:val="ListBullet"/>
        <w:ind w:left="360" w:hanging="360"/>
      </w:pPr>
      <w:r>
        <w:rPr>
          <w:rFonts w:ascii="Calibri" w:hAnsi="Calibri"/>
          <w:b/>
          <w:color w:val="525866"/>
          <w:sz w:val="22"/>
        </w:rPr>
        <w:t>Tariff Lapping: "After Q2, We'll Be Lapping the Worst of the Tariffs" (CNI Q1 Earnings):</w:t>
      </w:r>
      <w:r>
        <w:rPr>
          <w:rFonts w:ascii="Calibri" w:hAnsi="Calibri"/>
          <w:color w:val="525866"/>
          <w:sz w:val="22"/>
        </w:rPr>
        <w:t xml:space="preserve"> CNI CFO noted "we're kind of coming into the second quarter where after the second quarter, we'll be lapping the worst of the tariffs." Metals/minerals still seeing tariff headwinds in Q2 (tariffs applied early June 2025). Positive read-through for NSC's H2 2026 outlook as tariff comps ease.</w:t>
      </w:r>
    </w:p>
    <w:p>
      <w:pPr>
        <w:pStyle w:val="ListBullet"/>
        <w:ind w:left="360" w:hanging="360"/>
      </w:pPr>
      <w:r>
        <w:rPr>
          <w:rFonts w:ascii="Calibri" w:hAnsi="Calibri"/>
          <w:b/>
          <w:color w:val="525866"/>
          <w:sz w:val="22"/>
        </w:rPr>
        <w:t>Forest Products / Housing: Persistent Headwind (CNI Q1 Earnings):</w:t>
      </w:r>
      <w:r>
        <w:rPr>
          <w:rFonts w:ascii="Calibri" w:hAnsi="Calibri"/>
          <w:color w:val="525866"/>
          <w:sz w:val="22"/>
        </w:rPr>
        <w:t xml:space="preserve"> CNI stated "it's difficult to foresee improvement in the near term given muted housing activity in addition to the dampening effects of tariffs and duties" for forest products. Directly consistent with NSC management's explicit flagging of housing as a meaningful volume exposure with no near-term recovery expected.</w:t>
      </w:r>
    </w:p>
    <w:p>
      <w:pPr>
        <w:pStyle w:val="ListBullet"/>
        <w:ind w:left="360" w:hanging="360"/>
      </w:pPr>
      <w:r>
        <w:rPr>
          <w:rFonts w:ascii="Calibri" w:hAnsi="Calibri"/>
          <w:b/>
          <w:color w:val="525866"/>
          <w:sz w:val="22"/>
        </w:rPr>
        <w:t>Export Thermal Coal: Iran Conflict Supportive (CNI Q1 Earnings):</w:t>
      </w:r>
      <w:r>
        <w:rPr>
          <w:rFonts w:ascii="Calibri" w:hAnsi="Calibri"/>
          <w:color w:val="525866"/>
          <w:sz w:val="22"/>
        </w:rPr>
        <w:t xml:space="preserve"> CNI noted "rising thermal coal prices driven by the Middle East conflict could support improved export demand for thermal coal." Direct positive read-through for NSC's export thermal coal thesis, which management cited as a potential RPU mix improvement opportunity.</w:t>
      </w:r>
    </w:p>
    <w:p>
      <w:pPr>
        <w:pStyle w:val="ListBullet"/>
        <w:ind w:left="360" w:hanging="360"/>
      </w:pPr>
      <w:r>
        <w:rPr>
          <w:rFonts w:ascii="Calibri" w:hAnsi="Calibri"/>
          <w:b/>
          <w:color w:val="525866"/>
          <w:sz w:val="22"/>
        </w:rPr>
        <w:t>Pricing Discipline Maintained; Truck Market Tightening Supportive (CNI Wells Fargo):</w:t>
      </w:r>
      <w:r>
        <w:rPr>
          <w:rFonts w:ascii="Calibri" w:hAnsi="Calibri"/>
          <w:color w:val="525866"/>
          <w:sz w:val="22"/>
        </w:rPr>
        <w:t xml:space="preserve"> CNI reiterated pricing "ahead of rail cost inflation" and confirmed that truck market tightening "is supportive of pricing." Consistent with NSC's pricing outlook across all three segments.</w:t>
      </w:r>
    </w:p>
    <w:p>
      <w:pPr>
        <w:pStyle w:val="ListBullet"/>
        <w:ind w:left="360" w:hanging="360"/>
      </w:pPr>
      <w:r>
        <w:rPr>
          <w:rFonts w:ascii="Calibri" w:hAnsi="Calibri"/>
          <w:b/>
          <w:color w:val="525866"/>
          <w:sz w:val="22"/>
        </w:rPr>
        <w:t>Metals More Resilient Than Expected; Aluminum Returning to U.S. (CNI Wells Fargo):</w:t>
      </w:r>
      <w:r>
        <w:rPr>
          <w:rFonts w:ascii="Calibri" w:hAnsi="Calibri"/>
          <w:color w:val="525866"/>
          <w:sz w:val="22"/>
        </w:rPr>
        <w:t xml:space="preserve"> CNI noted metals "proving more resilient than what we anticipated initially" due to new U.S. movements, intra-Canada moves, and aluminum shipments returning to the U.S. Positive read-through for NSC's metals and construction carloads.</w:t>
      </w:r>
    </w:p>
    <w:p>
      <w:pPr>
        <w:pStyle w:val="Heading3"/>
      </w:pPr>
      <w:r>
        <w:rPr>
          <w:rFonts w:ascii="Calibri" w:hAnsi="Calibri"/>
          <w:b/>
          <w:color w:val="3B4259"/>
          <w:sz w:val="24"/>
        </w:rPr>
        <w:t>CSX Corporation (CSX) — Bank of America Industrials Conference (May 13, 2026)</w:t>
      </w:r>
    </w:p>
    <w:p>
      <w:r>
        <w:rPr>
          <w:rFonts w:ascii="Calibri" w:hAnsi="Calibri"/>
          <w:b/>
          <w:color w:val="525866"/>
          <w:sz w:val="22"/>
        </w:rPr>
        <w:t xml:space="preserve">Read-Through Signal: </w:t>
      </w:r>
      <w:r>
        <w:rPr>
          <w:rFonts w:ascii="Calibri" w:hAnsi="Calibri"/>
          <w:b/>
          <w:color w:val="525866"/>
          <w:sz w:val="22"/>
        </w:rPr>
        <w:t>Positive — CSX's early Q2 data (carloads +4.5% QTD as of May 13) and constructive commentary on domestic intermodal, chemicals, and coal directly validate NSC's Q2 setup.</w:t>
      </w:r>
    </w:p>
    <w:p>
      <w:pPr>
        <w:pStyle w:val="ListBullet"/>
        <w:ind w:left="360" w:hanging="360"/>
      </w:pPr>
      <w:r>
        <w:rPr>
          <w:rFonts w:ascii="Calibri" w:hAnsi="Calibri"/>
          <w:b/>
          <w:color w:val="525866"/>
          <w:sz w:val="22"/>
        </w:rPr>
        <w:t>Carloads +4.5% QTD as of May 13 — "Second or Third Best Week Since 2018":</w:t>
      </w:r>
      <w:r>
        <w:rPr>
          <w:rFonts w:ascii="Calibri" w:hAnsi="Calibri"/>
          <w:color w:val="525866"/>
          <w:sz w:val="22"/>
        </w:rPr>
        <w:t xml:space="preserve"> CSX CFO Kevin Boone reported carloads up 4.5% quarter-to-date, with the prior week's 132,000 carloads being "the second or third best week since week 25 of 2018." Freight environment described as "cautiously optimistic." Strong positive read-through for NSC's Q2 volume trajectory.</w:t>
      </w:r>
    </w:p>
    <w:p>
      <w:pPr>
        <w:pStyle w:val="ListBullet"/>
        <w:ind w:left="360" w:hanging="360"/>
      </w:pPr>
      <w:r>
        <w:rPr>
          <w:rFonts w:ascii="Calibri" w:hAnsi="Calibri"/>
          <w:b/>
          <w:color w:val="525866"/>
          <w:sz w:val="22"/>
        </w:rPr>
        <w:t>Truck Market Tightening Driving Domestic Intermodal:</w:t>
      </w:r>
      <w:r>
        <w:rPr>
          <w:rFonts w:ascii="Calibri" w:hAnsi="Calibri"/>
          <w:color w:val="525866"/>
          <w:sz w:val="22"/>
        </w:rPr>
        <w:t xml:space="preserve"> CSX cited tightening trucking market as helping domestic intermodal, with forest products customers "making a decision daily whether they use rail or truck" and converting to rail due to improved service. Directly validates NSC's domestic non-premium intermodal thesis.</w:t>
      </w:r>
    </w:p>
    <w:p>
      <w:pPr>
        <w:pStyle w:val="ListBullet"/>
        <w:ind w:left="360" w:hanging="360"/>
      </w:pPr>
      <w:r>
        <w:rPr>
          <w:rFonts w:ascii="Calibri" w:hAnsi="Calibri"/>
          <w:b/>
          <w:color w:val="525866"/>
          <w:sz w:val="22"/>
        </w:rPr>
        <w:t>Coal: Utility Demand Strong; Export Opportunity from Australian Price Gap:</w:t>
      </w:r>
      <w:r>
        <w:rPr>
          <w:rFonts w:ascii="Calibri" w:hAnsi="Calibri"/>
          <w:color w:val="525866"/>
          <w:sz w:val="22"/>
        </w:rPr>
        <w:t xml:space="preserve"> CSX noted "strong demand" from utility coal (AI, data centers, cold winter), with two previously-down mines now back up providing incremental volume. CSX highlighted the "largest gap we've seen in a long time" between Australian and U.S. coal prices as a potential export opportunity. Positive read-through for NSC's coal franchise.</w:t>
      </w:r>
    </w:p>
    <w:p>
      <w:pPr>
        <w:pStyle w:val="ListBullet"/>
        <w:ind w:left="360" w:hanging="360"/>
      </w:pPr>
      <w:r>
        <w:rPr>
          <w:rFonts w:ascii="Calibri" w:hAnsi="Calibri"/>
          <w:b/>
          <w:color w:val="525866"/>
          <w:sz w:val="22"/>
        </w:rPr>
        <w:t>Chemicals Strong; LNG Export Projects Driving Pipe/Metals Demand:</w:t>
      </w:r>
      <w:r>
        <w:rPr>
          <w:rFonts w:ascii="Calibri" w:hAnsi="Calibri"/>
          <w:color w:val="525866"/>
          <w:sz w:val="22"/>
        </w:rPr>
        <w:t xml:space="preserve"> CSX cited chemicals, aggregates, and pipe on the metals side as strong, driven by LNG export projects and energy sector activity. Directly positive for NSC's chemicals and metals/construction carloads.</w:t>
      </w:r>
    </w:p>
    <w:p>
      <w:pPr>
        <w:pStyle w:val="ListBullet"/>
        <w:ind w:left="360" w:hanging="360"/>
      </w:pPr>
      <w:r>
        <w:rPr>
          <w:rFonts w:ascii="Calibri" w:hAnsi="Calibri"/>
          <w:b/>
          <w:color w:val="525866"/>
          <w:sz w:val="22"/>
        </w:rPr>
        <w:t>Fuel Lag: "Last Quarter Where We See a Significant Fuel Lag":</w:t>
      </w:r>
      <w:r>
        <w:rPr>
          <w:rFonts w:ascii="Calibri" w:hAnsi="Calibri"/>
          <w:color w:val="525866"/>
          <w:sz w:val="22"/>
        </w:rPr>
        <w:t xml:space="preserve"> CSX noted Q2 should be "the last quarter where we see a significant fuel lag unless we get $150 oil." Consistent with NSC's guidance that fuel switches from headwind to tailwind in H2 2026.</w:t>
      </w:r>
    </w:p>
    <w:p>
      <w:pPr>
        <w:pStyle w:val="ListBullet"/>
        <w:ind w:left="360" w:hanging="360"/>
      </w:pPr>
      <w:r>
        <w:rPr>
          <w:rFonts w:ascii="Calibri" w:hAnsi="Calibri"/>
          <w:b/>
          <w:color w:val="525866"/>
          <w:sz w:val="22"/>
        </w:rPr>
        <w:t>Industrial Development Optimism:</w:t>
      </w:r>
      <w:r>
        <w:rPr>
          <w:rFonts w:ascii="Calibri" w:hAnsi="Calibri"/>
          <w:color w:val="525866"/>
          <w:sz w:val="22"/>
        </w:rPr>
        <w:t xml:space="preserve"> CSX expressed optimism on industrial development, citing secure and low-cost U.S. energy as attracting investment, with projects expected to come online and ramp over the next year into 2027. Consistent with NSC's 400+ project industrial development pipeline beginning to move.</w:t>
      </w:r>
    </w:p>
    <w:p>
      <w:pPr>
        <w:pStyle w:val="Heading3"/>
      </w:pPr>
      <w:r>
        <w:rPr>
          <w:rFonts w:ascii="Calibri" w:hAnsi="Calibri"/>
          <w:b/>
          <w:color w:val="3B4259"/>
          <w:sz w:val="24"/>
        </w:rPr>
        <w:t>Canadian Pacific Kansas City (CP) — Q1 2026 Earnings (April 29, 2026)</w:t>
      </w:r>
    </w:p>
    <w:p>
      <w:r>
        <w:rPr>
          <w:rFonts w:ascii="Calibri" w:hAnsi="Calibri"/>
          <w:b/>
          <w:color w:val="525866"/>
          <w:sz w:val="22"/>
        </w:rPr>
        <w:t xml:space="preserve">Read-Through Signal: </w:t>
      </w:r>
      <w:r>
        <w:rPr>
          <w:rFonts w:ascii="Calibri" w:hAnsi="Calibri"/>
          <w:b/>
          <w:color w:val="525866"/>
          <w:sz w:val="22"/>
        </w:rPr>
        <w:t>Limited direct read-through for NSC given CP's different geographic footprint (Canada/Mexico/U.S. transcontinental vs. NSC's Eastern U.S. focus). Key takeaways: tariff uncertainty remains a headwind for North American trade flows; Mexico intermodal growth (Mexico Midwest Express) continues; new coal storage facility at Port St. John opening summer 2026.</w:t>
      </w:r>
    </w:p>
    <w:p>
      <w:pPr>
        <w:pStyle w:val="ListBullet"/>
        <w:ind w:left="360" w:hanging="360"/>
      </w:pPr>
      <w:r>
        <w:rPr>
          <w:rFonts w:ascii="Calibri" w:hAnsi="Calibri"/>
          <w:b/>
          <w:color w:val="525866"/>
          <w:sz w:val="22"/>
        </w:rPr>
        <w:t>Tariff/Trade Uncertainty Acknowledged:</w:t>
      </w:r>
      <w:r>
        <w:rPr>
          <w:rFonts w:ascii="Calibri" w:hAnsi="Calibri"/>
          <w:color w:val="525866"/>
          <w:sz w:val="22"/>
        </w:rPr>
        <w:t xml:space="preserve"> CP CEO Keith Creel noted "the North American economy faces challenges and uncertain trade policies" but emphasized the company continues "building our foundation and unlocking the possibilities of our 3 Nation network." Consistent with the broader tariff uncertainty backdrop affecting all rails.</w:t>
      </w:r>
    </w:p>
    <w:p>
      <w:pPr>
        <w:pStyle w:val="ListBullet"/>
        <w:ind w:left="360" w:hanging="360"/>
      </w:pPr>
      <w:r>
        <w:rPr>
          <w:rFonts w:ascii="Calibri" w:hAnsi="Calibri"/>
          <w:b/>
          <w:color w:val="525866"/>
          <w:sz w:val="22"/>
        </w:rPr>
        <w:t>Mexico Intermodal Growth Continuing:</w:t>
      </w:r>
      <w:r>
        <w:rPr>
          <w:rFonts w:ascii="Calibri" w:hAnsi="Calibri"/>
          <w:color w:val="525866"/>
          <w:sz w:val="22"/>
        </w:rPr>
        <w:t xml:space="preserve"> CP's Mexico Midwest Express service "has continued to grow," with plans to expand via a new CSX connection and Southwest Mexico Express service. Limited direct NSC read-through, but signals continued strength in intermodal demand broadly.</w:t>
      </w:r>
    </w:p>
    <w:p>
      <w:pPr>
        <w:pStyle w:val="ListBullet"/>
        <w:ind w:left="360" w:hanging="360"/>
      </w:pPr>
      <w:r>
        <w:rPr>
          <w:rFonts w:ascii="Calibri" w:hAnsi="Calibri"/>
          <w:b/>
          <w:color w:val="525866"/>
          <w:sz w:val="22"/>
        </w:rPr>
        <w:t>New Coal Storage Facility at Port St. John Opening Summer 2026:</w:t>
      </w:r>
      <w:r>
        <w:rPr>
          <w:rFonts w:ascii="Calibri" w:hAnsi="Calibri"/>
          <w:color w:val="525866"/>
          <w:sz w:val="22"/>
        </w:rPr>
        <w:t xml:space="preserve"> CP announced a new coal storage facility opening this summer, building a "new supply chain for coal storage." Modest positive read-through for coal infrastructure investment broadly.</w:t>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No open-market buys or discretionary sells by senior executives since the Q1 print — the only Form 4 activity consists of routine equity award vesting (RSU/DSU grants to directors on May 20 and June 30) and a standard RSU-to-shares conversion with tax withholding for COO John Orr on April 26. </w:t>
      </w:r>
      <w:r>
        <w:rPr>
          <w:rFonts w:ascii="Calibri" w:hAnsi="Calibri"/>
          <w:color w:val="525866"/>
          <w:sz w:val="22"/>
        </w:rPr>
        <w:t>The absence of any discretionary insider selling ahead of earnings is a mild positive signal; no clustered buys to flag either.</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Orr, John F</w:t>
            </w:r>
          </w:p>
        </w:tc>
        <w:tc>
          <w:tcPr>
            <w:tcW w:type="dxa" w:w="1440"/>
          </w:tcPr>
          <w:p>
            <w:r>
              <w:rPr>
                <w:rFonts w:ascii="Calibri" w:hAnsi="Calibri"/>
                <w:sz w:val="22"/>
              </w:rPr>
              <w:t>EVP &amp; Chief Operating Officer</w:t>
            </w:r>
          </w:p>
        </w:tc>
        <w:tc>
          <w:tcPr>
            <w:tcW w:type="dxa" w:w="1440"/>
          </w:tcPr>
          <w:p>
            <w:r>
              <w:rPr>
                <w:rFonts w:ascii="Calibri" w:hAnsi="Calibri"/>
                <w:sz w:val="22"/>
              </w:rPr>
              <w:t>RSU Vesting (Code M — Exercise/Conversion)</w:t>
            </w:r>
          </w:p>
        </w:tc>
        <w:tc>
          <w:tcPr>
            <w:tcW w:type="dxa" w:w="1440"/>
          </w:tcPr>
          <w:p>
            <w:r>
              <w:rPr>
                <w:rFonts w:ascii="Calibri" w:hAnsi="Calibri"/>
                <w:sz w:val="22"/>
              </w:rPr>
              <w:t>8,319 shares received</w:t>
            </w:r>
          </w:p>
        </w:tc>
        <w:tc>
          <w:tcPr>
            <w:tcW w:type="dxa" w:w="1440"/>
          </w:tcPr>
          <w:p>
            <w:r>
              <w:rPr>
                <w:rFonts w:ascii="Calibri" w:hAnsi="Calibri"/>
                <w:sz w:val="22"/>
              </w:rPr>
              <w:t>Apr 26, 2026</w:t>
            </w:r>
          </w:p>
        </w:tc>
        <w:tc>
          <w:tcPr>
            <w:tcW w:type="dxa" w:w="1440"/>
          </w:tcPr>
          <w:p>
            <w:r>
              <w:rPr>
                <w:rFonts w:ascii="Calibri" w:hAnsi="Calibri"/>
                <w:sz w:val="22"/>
              </w:rPr>
              <w:t>Routine RSU-to-common-stock conversion; 3,247 shares withheld for tax (Code F); net 5,072 shares retained. Not a discretionary sale.</w:t>
            </w:r>
          </w:p>
        </w:tc>
      </w:tr>
      <w:tr>
        <w:tc>
          <w:tcPr>
            <w:tcW w:type="dxa" w:w="1440"/>
          </w:tcPr>
          <w:p>
            <w:r>
              <w:rPr>
                <w:rFonts w:ascii="Calibri" w:hAnsi="Calibri"/>
                <w:sz w:val="22"/>
              </w:rPr>
              <w:t>Anderson, Richard H</w:t>
            </w:r>
          </w:p>
        </w:tc>
        <w:tc>
          <w:tcPr>
            <w:tcW w:type="dxa" w:w="1440"/>
          </w:tcPr>
          <w:p>
            <w:r>
              <w:rPr>
                <w:rFonts w:ascii="Calibri" w:hAnsi="Calibri"/>
                <w:sz w:val="22"/>
              </w:rPr>
              <w:t>Director</w:t>
            </w:r>
          </w:p>
        </w:tc>
        <w:tc>
          <w:tcPr>
            <w:tcW w:type="dxa" w:w="1440"/>
          </w:tcPr>
          <w:p>
            <w:r>
              <w:rPr>
                <w:rFonts w:ascii="Calibri" w:hAnsi="Calibri"/>
                <w:sz w:val="22"/>
              </w:rPr>
              <w:t>DSU Award (Code A — Grant)</w:t>
            </w:r>
          </w:p>
        </w:tc>
        <w:tc>
          <w:tcPr>
            <w:tcW w:type="dxa" w:w="1440"/>
          </w:tcPr>
          <w:p>
            <w:r>
              <w:rPr>
                <w:rFonts w:ascii="Calibri" w:hAnsi="Calibri"/>
                <w:sz w:val="22"/>
              </w:rPr>
              <w:t>6.52 DSUs</w:t>
            </w:r>
          </w:p>
        </w:tc>
        <w:tc>
          <w:tcPr>
            <w:tcW w:type="dxa" w:w="1440"/>
          </w:tcPr>
          <w:p>
            <w:r>
              <w:rPr>
                <w:rFonts w:ascii="Calibri" w:hAnsi="Calibri"/>
                <w:sz w:val="22"/>
              </w:rPr>
              <w:t>May 20, 2026</w:t>
            </w:r>
          </w:p>
        </w:tc>
        <w:tc>
          <w:tcPr>
            <w:tcW w:type="dxa" w:w="1440"/>
          </w:tcPr>
          <w:p>
            <w:r>
              <w:rPr>
                <w:rFonts w:ascii="Calibri" w:hAnsi="Calibri"/>
                <w:sz w:val="22"/>
              </w:rPr>
              <w:t>Routine director deferred stock unit award. Not a market transaction.</w:t>
            </w:r>
          </w:p>
        </w:tc>
      </w:tr>
      <w:tr>
        <w:tc>
          <w:tcPr>
            <w:tcW w:type="dxa" w:w="1440"/>
          </w:tcPr>
          <w:p>
            <w:r>
              <w:rPr>
                <w:rFonts w:ascii="Calibri" w:hAnsi="Calibri"/>
                <w:sz w:val="22"/>
              </w:rPr>
              <w:t>Clyburn, William Jr.</w:t>
            </w:r>
          </w:p>
        </w:tc>
        <w:tc>
          <w:tcPr>
            <w:tcW w:type="dxa" w:w="1440"/>
          </w:tcPr>
          <w:p>
            <w:r>
              <w:rPr>
                <w:rFonts w:ascii="Calibri" w:hAnsi="Calibri"/>
                <w:sz w:val="22"/>
              </w:rPr>
              <w:t>Director</w:t>
            </w:r>
          </w:p>
        </w:tc>
        <w:tc>
          <w:tcPr>
            <w:tcW w:type="dxa" w:w="1440"/>
          </w:tcPr>
          <w:p>
            <w:r>
              <w:rPr>
                <w:rFonts w:ascii="Calibri" w:hAnsi="Calibri"/>
                <w:sz w:val="22"/>
              </w:rPr>
              <w:t>RSU Award (Code A — Grant)</w:t>
            </w:r>
          </w:p>
        </w:tc>
        <w:tc>
          <w:tcPr>
            <w:tcW w:type="dxa" w:w="1440"/>
          </w:tcPr>
          <w:p>
            <w:r>
              <w:rPr>
                <w:rFonts w:ascii="Calibri" w:hAnsi="Calibri"/>
                <w:sz w:val="22"/>
              </w:rPr>
              <w:t>7.79 RSUs</w:t>
            </w:r>
          </w:p>
        </w:tc>
        <w:tc>
          <w:tcPr>
            <w:tcW w:type="dxa" w:w="1440"/>
          </w:tcPr>
          <w:p>
            <w:r>
              <w:rPr>
                <w:rFonts w:ascii="Calibri" w:hAnsi="Calibri"/>
                <w:sz w:val="22"/>
              </w:rPr>
              <w:t>May 20, 2026</w:t>
            </w:r>
          </w:p>
        </w:tc>
        <w:tc>
          <w:tcPr>
            <w:tcW w:type="dxa" w:w="1440"/>
          </w:tcPr>
          <w:p>
            <w:r>
              <w:rPr>
                <w:rFonts w:ascii="Calibri" w:hAnsi="Calibri"/>
                <w:sz w:val="22"/>
              </w:rPr>
              <w:t>Routine annual director RSU grant. Not a market transaction.</w:t>
            </w:r>
          </w:p>
        </w:tc>
      </w:tr>
      <w:tr>
        <w:tc>
          <w:tcPr>
            <w:tcW w:type="dxa" w:w="1440"/>
          </w:tcPr>
          <w:p>
            <w:r>
              <w:rPr>
                <w:rFonts w:ascii="Calibri" w:hAnsi="Calibri"/>
                <w:sz w:val="22"/>
              </w:rPr>
              <w:t>Davidson, Phillip S</w:t>
            </w:r>
          </w:p>
        </w:tc>
        <w:tc>
          <w:tcPr>
            <w:tcW w:type="dxa" w:w="1440"/>
          </w:tcPr>
          <w:p>
            <w:r>
              <w:rPr>
                <w:rFonts w:ascii="Calibri" w:hAnsi="Calibri"/>
                <w:sz w:val="22"/>
              </w:rPr>
              <w:t>Director</w:t>
            </w:r>
          </w:p>
        </w:tc>
        <w:tc>
          <w:tcPr>
            <w:tcW w:type="dxa" w:w="1440"/>
          </w:tcPr>
          <w:p>
            <w:r>
              <w:rPr>
                <w:rFonts w:ascii="Calibri" w:hAnsi="Calibri"/>
                <w:sz w:val="22"/>
              </w:rPr>
              <w:t>RSU Award (Code A — Grant)</w:t>
            </w:r>
          </w:p>
        </w:tc>
        <w:tc>
          <w:tcPr>
            <w:tcW w:type="dxa" w:w="1440"/>
          </w:tcPr>
          <w:p>
            <w:r>
              <w:rPr>
                <w:rFonts w:ascii="Calibri" w:hAnsi="Calibri"/>
                <w:sz w:val="22"/>
              </w:rPr>
              <w:t>10.74 RSUs</w:t>
            </w:r>
          </w:p>
        </w:tc>
        <w:tc>
          <w:tcPr>
            <w:tcW w:type="dxa" w:w="1440"/>
          </w:tcPr>
          <w:p>
            <w:r>
              <w:rPr>
                <w:rFonts w:ascii="Calibri" w:hAnsi="Calibri"/>
                <w:sz w:val="22"/>
              </w:rPr>
              <w:t>May 20, 2026</w:t>
            </w:r>
          </w:p>
        </w:tc>
        <w:tc>
          <w:tcPr>
            <w:tcW w:type="dxa" w:w="1440"/>
          </w:tcPr>
          <w:p>
            <w:r>
              <w:rPr>
                <w:rFonts w:ascii="Calibri" w:hAnsi="Calibri"/>
                <w:sz w:val="22"/>
              </w:rPr>
              <w:t>Routine annual director RSU grant. Not a market transaction.</w:t>
            </w:r>
          </w:p>
        </w:tc>
      </w:tr>
      <w:tr>
        <w:tc>
          <w:tcPr>
            <w:tcW w:type="dxa" w:w="1440"/>
          </w:tcPr>
          <w:p>
            <w:r>
              <w:rPr>
                <w:rFonts w:ascii="Calibri" w:hAnsi="Calibri"/>
                <w:sz w:val="22"/>
              </w:rPr>
              <w:t>DeBiase, Francesca A.</w:t>
            </w:r>
          </w:p>
        </w:tc>
        <w:tc>
          <w:tcPr>
            <w:tcW w:type="dxa" w:w="1440"/>
          </w:tcPr>
          <w:p>
            <w:r>
              <w:rPr>
                <w:rFonts w:ascii="Calibri" w:hAnsi="Calibri"/>
                <w:sz w:val="22"/>
              </w:rPr>
              <w:t>Director</w:t>
            </w:r>
          </w:p>
        </w:tc>
        <w:tc>
          <w:tcPr>
            <w:tcW w:type="dxa" w:w="1440"/>
          </w:tcPr>
          <w:p>
            <w:r>
              <w:rPr>
                <w:rFonts w:ascii="Calibri" w:hAnsi="Calibri"/>
                <w:sz w:val="22"/>
              </w:rPr>
              <w:t>RSU Award (Code A — Grant)</w:t>
            </w:r>
          </w:p>
        </w:tc>
        <w:tc>
          <w:tcPr>
            <w:tcW w:type="dxa" w:w="1440"/>
          </w:tcPr>
          <w:p>
            <w:r>
              <w:rPr>
                <w:rFonts w:ascii="Calibri" w:hAnsi="Calibri"/>
                <w:sz w:val="22"/>
              </w:rPr>
              <w:t>9.15 RSUs</w:t>
            </w:r>
          </w:p>
        </w:tc>
        <w:tc>
          <w:tcPr>
            <w:tcW w:type="dxa" w:w="1440"/>
          </w:tcPr>
          <w:p>
            <w:r>
              <w:rPr>
                <w:rFonts w:ascii="Calibri" w:hAnsi="Calibri"/>
                <w:sz w:val="22"/>
              </w:rPr>
              <w:t>May 20, 2026</w:t>
            </w:r>
          </w:p>
        </w:tc>
        <w:tc>
          <w:tcPr>
            <w:tcW w:type="dxa" w:w="1440"/>
          </w:tcPr>
          <w:p>
            <w:r>
              <w:rPr>
                <w:rFonts w:ascii="Calibri" w:hAnsi="Calibri"/>
                <w:sz w:val="22"/>
              </w:rPr>
              <w:t>Routine annual director RSU grant. Not a market transaction.</w:t>
            </w:r>
          </w:p>
        </w:tc>
      </w:tr>
      <w:tr>
        <w:tc>
          <w:tcPr>
            <w:tcW w:type="dxa" w:w="1440"/>
          </w:tcPr>
          <w:p>
            <w:r>
              <w:rPr>
                <w:rFonts w:ascii="Calibri" w:hAnsi="Calibri"/>
                <w:sz w:val="22"/>
              </w:rPr>
              <w:t>Donadio, Marcela E</w:t>
            </w:r>
          </w:p>
        </w:tc>
        <w:tc>
          <w:tcPr>
            <w:tcW w:type="dxa" w:w="1440"/>
          </w:tcPr>
          <w:p>
            <w:r>
              <w:rPr>
                <w:rFonts w:ascii="Calibri" w:hAnsi="Calibri"/>
                <w:sz w:val="22"/>
              </w:rPr>
              <w:t>Director</w:t>
            </w:r>
          </w:p>
        </w:tc>
        <w:tc>
          <w:tcPr>
            <w:tcW w:type="dxa" w:w="1440"/>
          </w:tcPr>
          <w:p>
            <w:r>
              <w:rPr>
                <w:rFonts w:ascii="Calibri" w:hAnsi="Calibri"/>
                <w:sz w:val="22"/>
              </w:rPr>
              <w:t>RSU Award (Code A — Grant)</w:t>
            </w:r>
          </w:p>
        </w:tc>
        <w:tc>
          <w:tcPr>
            <w:tcW w:type="dxa" w:w="1440"/>
          </w:tcPr>
          <w:p>
            <w:r>
              <w:rPr>
                <w:rFonts w:ascii="Calibri" w:hAnsi="Calibri"/>
                <w:sz w:val="22"/>
              </w:rPr>
              <w:t>37.24 RSUs</w:t>
            </w:r>
          </w:p>
        </w:tc>
        <w:tc>
          <w:tcPr>
            <w:tcW w:type="dxa" w:w="1440"/>
          </w:tcPr>
          <w:p>
            <w:r>
              <w:rPr>
                <w:rFonts w:ascii="Calibri" w:hAnsi="Calibri"/>
                <w:sz w:val="22"/>
              </w:rPr>
              <w:t>May 20, 2026</w:t>
            </w:r>
          </w:p>
        </w:tc>
        <w:tc>
          <w:tcPr>
            <w:tcW w:type="dxa" w:w="1440"/>
          </w:tcPr>
          <w:p>
            <w:r>
              <w:rPr>
                <w:rFonts w:ascii="Calibri" w:hAnsi="Calibri"/>
                <w:sz w:val="22"/>
              </w:rPr>
              <w:t>Routine annual director RSU grant. Not a market transaction.</w:t>
            </w:r>
          </w:p>
        </w:tc>
      </w:tr>
      <w:tr>
        <w:tc>
          <w:tcPr>
            <w:tcW w:type="dxa" w:w="1440"/>
          </w:tcPr>
          <w:p>
            <w:r>
              <w:rPr>
                <w:rFonts w:ascii="Calibri" w:hAnsi="Calibri"/>
                <w:sz w:val="22"/>
              </w:rPr>
              <w:t>Fahmy, Sameh</w:t>
            </w:r>
          </w:p>
        </w:tc>
        <w:tc>
          <w:tcPr>
            <w:tcW w:type="dxa" w:w="1440"/>
          </w:tcPr>
          <w:p>
            <w:r>
              <w:rPr>
                <w:rFonts w:ascii="Calibri" w:hAnsi="Calibri"/>
                <w:sz w:val="22"/>
              </w:rPr>
              <w:t>Director</w:t>
            </w:r>
          </w:p>
        </w:tc>
        <w:tc>
          <w:tcPr>
            <w:tcW w:type="dxa" w:w="1440"/>
          </w:tcPr>
          <w:p>
            <w:r>
              <w:rPr>
                <w:rFonts w:ascii="Calibri" w:hAnsi="Calibri"/>
                <w:sz w:val="22"/>
              </w:rPr>
              <w:t>RSU Award (Code A — Grant)</w:t>
            </w:r>
          </w:p>
        </w:tc>
        <w:tc>
          <w:tcPr>
            <w:tcW w:type="dxa" w:w="1440"/>
          </w:tcPr>
          <w:p>
            <w:r>
              <w:rPr>
                <w:rFonts w:ascii="Calibri" w:hAnsi="Calibri"/>
                <w:sz w:val="22"/>
              </w:rPr>
              <w:t>7.79 RSUs</w:t>
            </w:r>
          </w:p>
        </w:tc>
        <w:tc>
          <w:tcPr>
            <w:tcW w:type="dxa" w:w="1440"/>
          </w:tcPr>
          <w:p>
            <w:r>
              <w:rPr>
                <w:rFonts w:ascii="Calibri" w:hAnsi="Calibri"/>
                <w:sz w:val="22"/>
              </w:rPr>
              <w:t>May 20, 2026</w:t>
            </w:r>
          </w:p>
        </w:tc>
        <w:tc>
          <w:tcPr>
            <w:tcW w:type="dxa" w:w="1440"/>
          </w:tcPr>
          <w:p>
            <w:r>
              <w:rPr>
                <w:rFonts w:ascii="Calibri" w:hAnsi="Calibri"/>
                <w:sz w:val="22"/>
              </w:rPr>
              <w:t>Routine annual director RSU grant. Not a market transaction.</w:t>
            </w:r>
          </w:p>
        </w:tc>
      </w:tr>
      <w:tr>
        <w:tc>
          <w:tcPr>
            <w:tcW w:type="dxa" w:w="1440"/>
          </w:tcPr>
          <w:p>
            <w:r>
              <w:rPr>
                <w:rFonts w:ascii="Calibri" w:hAnsi="Calibri"/>
                <w:sz w:val="22"/>
              </w:rPr>
              <w:t>Heitkamp, Mary Kathryn</w:t>
            </w:r>
          </w:p>
        </w:tc>
        <w:tc>
          <w:tcPr>
            <w:tcW w:type="dxa" w:w="1440"/>
          </w:tcPr>
          <w:p>
            <w:r>
              <w:rPr>
                <w:rFonts w:ascii="Calibri" w:hAnsi="Calibri"/>
                <w:sz w:val="22"/>
              </w:rPr>
              <w:t>Director</w:t>
            </w:r>
          </w:p>
        </w:tc>
        <w:tc>
          <w:tcPr>
            <w:tcW w:type="dxa" w:w="1440"/>
          </w:tcPr>
          <w:p>
            <w:r>
              <w:rPr>
                <w:rFonts w:ascii="Calibri" w:hAnsi="Calibri"/>
                <w:sz w:val="22"/>
              </w:rPr>
              <w:t>RSU Award (Code A — Grant)</w:t>
            </w:r>
          </w:p>
        </w:tc>
        <w:tc>
          <w:tcPr>
            <w:tcW w:type="dxa" w:w="1440"/>
          </w:tcPr>
          <w:p>
            <w:r>
              <w:rPr>
                <w:rFonts w:ascii="Calibri" w:hAnsi="Calibri"/>
                <w:sz w:val="22"/>
              </w:rPr>
              <w:t>7.79 RSUs</w:t>
            </w:r>
          </w:p>
        </w:tc>
        <w:tc>
          <w:tcPr>
            <w:tcW w:type="dxa" w:w="1440"/>
          </w:tcPr>
          <w:p>
            <w:r>
              <w:rPr>
                <w:rFonts w:ascii="Calibri" w:hAnsi="Calibri"/>
                <w:sz w:val="22"/>
              </w:rPr>
              <w:t>May 20, 2026</w:t>
            </w:r>
          </w:p>
        </w:tc>
        <w:tc>
          <w:tcPr>
            <w:tcW w:type="dxa" w:w="1440"/>
          </w:tcPr>
          <w:p>
            <w:r>
              <w:rPr>
                <w:rFonts w:ascii="Calibri" w:hAnsi="Calibri"/>
                <w:sz w:val="22"/>
              </w:rPr>
              <w:t>Routine annual director RSU grant. Not a market transaction.</w:t>
            </w:r>
          </w:p>
        </w:tc>
      </w:tr>
      <w:tr>
        <w:tc>
          <w:tcPr>
            <w:tcW w:type="dxa" w:w="1440"/>
          </w:tcPr>
          <w:p>
            <w:r>
              <w:rPr>
                <w:rFonts w:ascii="Calibri" w:hAnsi="Calibri"/>
                <w:sz w:val="22"/>
              </w:rPr>
              <w:t>Huffard, John C Jr</w:t>
            </w:r>
          </w:p>
        </w:tc>
        <w:tc>
          <w:tcPr>
            <w:tcW w:type="dxa" w:w="1440"/>
          </w:tcPr>
          <w:p>
            <w:r>
              <w:rPr>
                <w:rFonts w:ascii="Calibri" w:hAnsi="Calibri"/>
                <w:sz w:val="22"/>
              </w:rPr>
              <w:t>Director</w:t>
            </w:r>
          </w:p>
        </w:tc>
        <w:tc>
          <w:tcPr>
            <w:tcW w:type="dxa" w:w="1440"/>
          </w:tcPr>
          <w:p>
            <w:r>
              <w:rPr>
                <w:rFonts w:ascii="Calibri" w:hAnsi="Calibri"/>
                <w:sz w:val="22"/>
              </w:rPr>
              <w:t>DSU Award (Code A — Grant)</w:t>
            </w:r>
          </w:p>
        </w:tc>
        <w:tc>
          <w:tcPr>
            <w:tcW w:type="dxa" w:w="1440"/>
          </w:tcPr>
          <w:p>
            <w:r>
              <w:rPr>
                <w:rFonts w:ascii="Calibri" w:hAnsi="Calibri"/>
                <w:sz w:val="22"/>
              </w:rPr>
              <w:t>12.74 DSUs (May); 168.47 DSUs (Jun)</w:t>
            </w:r>
          </w:p>
        </w:tc>
        <w:tc>
          <w:tcPr>
            <w:tcW w:type="dxa" w:w="1440"/>
          </w:tcPr>
          <w:p>
            <w:r>
              <w:rPr>
                <w:rFonts w:ascii="Calibri" w:hAnsi="Calibri"/>
                <w:sz w:val="22"/>
              </w:rPr>
              <w:t>May 20 &amp; Jun 30, 2026</w:t>
            </w:r>
          </w:p>
        </w:tc>
        <w:tc>
          <w:tcPr>
            <w:tcW w:type="dxa" w:w="1440"/>
          </w:tcPr>
          <w:p>
            <w:r>
              <w:rPr>
                <w:rFonts w:ascii="Calibri" w:hAnsi="Calibri"/>
                <w:sz w:val="22"/>
              </w:rPr>
              <w:t>Routine director deferred stock unit awards. Not market transactions.</w:t>
            </w:r>
          </w:p>
        </w:tc>
      </w:tr>
      <w:tr>
        <w:tc>
          <w:tcPr>
            <w:tcW w:type="dxa" w:w="1440"/>
          </w:tcPr>
          <w:p>
            <w:r>
              <w:rPr>
                <w:rFonts w:ascii="Calibri" w:hAnsi="Calibri"/>
                <w:sz w:val="22"/>
              </w:rPr>
              <w:t>Jones, Christopher T</w:t>
            </w:r>
          </w:p>
        </w:tc>
        <w:tc>
          <w:tcPr>
            <w:tcW w:type="dxa" w:w="1440"/>
          </w:tcPr>
          <w:p>
            <w:r>
              <w:rPr>
                <w:rFonts w:ascii="Calibri" w:hAnsi="Calibri"/>
                <w:sz w:val="22"/>
              </w:rPr>
              <w:t>Director</w:t>
            </w:r>
          </w:p>
        </w:tc>
        <w:tc>
          <w:tcPr>
            <w:tcW w:type="dxa" w:w="1440"/>
          </w:tcPr>
          <w:p>
            <w:r>
              <w:rPr>
                <w:rFonts w:ascii="Calibri" w:hAnsi="Calibri"/>
                <w:sz w:val="22"/>
              </w:rPr>
              <w:t>RSU Award (Code A — Grant)</w:t>
            </w:r>
          </w:p>
        </w:tc>
        <w:tc>
          <w:tcPr>
            <w:tcW w:type="dxa" w:w="1440"/>
          </w:tcPr>
          <w:p>
            <w:r>
              <w:rPr>
                <w:rFonts w:ascii="Calibri" w:hAnsi="Calibri"/>
                <w:sz w:val="22"/>
              </w:rPr>
              <w:t>22.48 RSUs</w:t>
            </w:r>
          </w:p>
        </w:tc>
        <w:tc>
          <w:tcPr>
            <w:tcW w:type="dxa" w:w="1440"/>
          </w:tcPr>
          <w:p>
            <w:r>
              <w:rPr>
                <w:rFonts w:ascii="Calibri" w:hAnsi="Calibri"/>
                <w:sz w:val="22"/>
              </w:rPr>
              <w:t>May 20, 2026</w:t>
            </w:r>
          </w:p>
        </w:tc>
        <w:tc>
          <w:tcPr>
            <w:tcW w:type="dxa" w:w="1440"/>
          </w:tcPr>
          <w:p>
            <w:r>
              <w:rPr>
                <w:rFonts w:ascii="Calibri" w:hAnsi="Calibri"/>
                <w:sz w:val="22"/>
              </w:rPr>
              <w:t>Routine annual director RSU grant. Not a market transaction.</w:t>
            </w:r>
          </w:p>
        </w:tc>
      </w:tr>
      <w:tr>
        <w:tc>
          <w:tcPr>
            <w:tcW w:type="dxa" w:w="1440"/>
          </w:tcPr>
          <w:p>
            <w:r>
              <w:rPr>
                <w:rFonts w:ascii="Calibri" w:hAnsi="Calibri"/>
                <w:sz w:val="22"/>
              </w:rPr>
              <w:t>Lamphere, Gilbert H</w:t>
            </w:r>
          </w:p>
        </w:tc>
        <w:tc>
          <w:tcPr>
            <w:tcW w:type="dxa" w:w="1440"/>
          </w:tcPr>
          <w:p>
            <w:r>
              <w:rPr>
                <w:rFonts w:ascii="Calibri" w:hAnsi="Calibri"/>
                <w:sz w:val="22"/>
              </w:rPr>
              <w:t>Director</w:t>
            </w:r>
          </w:p>
        </w:tc>
        <w:tc>
          <w:tcPr>
            <w:tcW w:type="dxa" w:w="1440"/>
          </w:tcPr>
          <w:p>
            <w:r>
              <w:rPr>
                <w:rFonts w:ascii="Calibri" w:hAnsi="Calibri"/>
                <w:sz w:val="22"/>
              </w:rPr>
              <w:t>RSU Award (Code A — Grant)</w:t>
            </w:r>
          </w:p>
        </w:tc>
        <w:tc>
          <w:tcPr>
            <w:tcW w:type="dxa" w:w="1440"/>
          </w:tcPr>
          <w:p>
            <w:r>
              <w:rPr>
                <w:rFonts w:ascii="Calibri" w:hAnsi="Calibri"/>
                <w:sz w:val="22"/>
              </w:rPr>
              <w:t>2.67 RSUs</w:t>
            </w:r>
          </w:p>
        </w:tc>
        <w:tc>
          <w:tcPr>
            <w:tcW w:type="dxa" w:w="1440"/>
          </w:tcPr>
          <w:p>
            <w:r>
              <w:rPr>
                <w:rFonts w:ascii="Calibri" w:hAnsi="Calibri"/>
                <w:sz w:val="22"/>
              </w:rPr>
              <w:t>May 20, 2026</w:t>
            </w:r>
          </w:p>
        </w:tc>
        <w:tc>
          <w:tcPr>
            <w:tcW w:type="dxa" w:w="1440"/>
          </w:tcPr>
          <w:p>
            <w:r>
              <w:rPr>
                <w:rFonts w:ascii="Calibri" w:hAnsi="Calibri"/>
                <w:sz w:val="22"/>
              </w:rPr>
              <w:t>Routine annual director RSU grant. Not a market transaction.</w:t>
            </w:r>
          </w:p>
        </w:tc>
      </w:tr>
      <w:tr>
        <w:tc>
          <w:tcPr>
            <w:tcW w:type="dxa" w:w="1440"/>
          </w:tcPr>
          <w:p>
            <w:r>
              <w:rPr>
                <w:rFonts w:ascii="Calibri" w:hAnsi="Calibri"/>
                <w:sz w:val="22"/>
              </w:rPr>
              <w:t>Ryerkerk, Lori</w:t>
            </w:r>
          </w:p>
        </w:tc>
        <w:tc>
          <w:tcPr>
            <w:tcW w:type="dxa" w:w="1440"/>
          </w:tcPr>
          <w:p>
            <w:r>
              <w:rPr>
                <w:rFonts w:ascii="Calibri" w:hAnsi="Calibri"/>
                <w:sz w:val="22"/>
              </w:rPr>
              <w:t>Director</w:t>
            </w:r>
          </w:p>
        </w:tc>
        <w:tc>
          <w:tcPr>
            <w:tcW w:type="dxa" w:w="1440"/>
          </w:tcPr>
          <w:p>
            <w:r>
              <w:rPr>
                <w:rFonts w:ascii="Calibri" w:hAnsi="Calibri"/>
                <w:sz w:val="22"/>
              </w:rPr>
              <w:t>RSU Award (Code A — Grant)</w:t>
            </w:r>
          </w:p>
        </w:tc>
        <w:tc>
          <w:tcPr>
            <w:tcW w:type="dxa" w:w="1440"/>
          </w:tcPr>
          <w:p>
            <w:r>
              <w:rPr>
                <w:rFonts w:ascii="Calibri" w:hAnsi="Calibri"/>
                <w:sz w:val="22"/>
              </w:rPr>
              <w:t>3.07 RSUs</w:t>
            </w:r>
          </w:p>
        </w:tc>
        <w:tc>
          <w:tcPr>
            <w:tcW w:type="dxa" w:w="1440"/>
          </w:tcPr>
          <w:p>
            <w:r>
              <w:rPr>
                <w:rFonts w:ascii="Calibri" w:hAnsi="Calibri"/>
                <w:sz w:val="22"/>
              </w:rPr>
              <w:t>May 20, 2026</w:t>
            </w:r>
          </w:p>
        </w:tc>
        <w:tc>
          <w:tcPr>
            <w:tcW w:type="dxa" w:w="1440"/>
          </w:tcPr>
          <w:p>
            <w:r>
              <w:rPr>
                <w:rFonts w:ascii="Calibri" w:hAnsi="Calibri"/>
                <w:sz w:val="22"/>
              </w:rPr>
              <w:t>Routine annual director RSU grant. Not a market transaction.</w:t>
            </w:r>
          </w:p>
        </w:tc>
      </w:tr>
      <w:tr>
        <w:tc>
          <w:tcPr>
            <w:tcW w:type="dxa" w:w="1440"/>
          </w:tcPr>
          <w:p>
            <w:r>
              <w:rPr>
                <w:rFonts w:ascii="Calibri" w:hAnsi="Calibri"/>
                <w:sz w:val="22"/>
              </w:rPr>
              <w:t>Anderson, Richard H</w:t>
            </w:r>
          </w:p>
        </w:tc>
        <w:tc>
          <w:tcPr>
            <w:tcW w:type="dxa" w:w="1440"/>
          </w:tcPr>
          <w:p>
            <w:r>
              <w:rPr>
                <w:rFonts w:ascii="Calibri" w:hAnsi="Calibri"/>
                <w:sz w:val="22"/>
              </w:rPr>
              <w:t>Director</w:t>
            </w:r>
          </w:p>
        </w:tc>
        <w:tc>
          <w:tcPr>
            <w:tcW w:type="dxa" w:w="1440"/>
          </w:tcPr>
          <w:p>
            <w:r>
              <w:rPr>
                <w:rFonts w:ascii="Calibri" w:hAnsi="Calibri"/>
                <w:sz w:val="22"/>
              </w:rPr>
              <w:t>DSU Award (Code A — Grant)</w:t>
            </w:r>
          </w:p>
        </w:tc>
        <w:tc>
          <w:tcPr>
            <w:tcW w:type="dxa" w:w="1440"/>
          </w:tcPr>
          <w:p>
            <w:r>
              <w:rPr>
                <w:rFonts w:ascii="Calibri" w:hAnsi="Calibri"/>
                <w:sz w:val="22"/>
              </w:rPr>
              <w:t>251.20 DSUs</w:t>
            </w:r>
          </w:p>
        </w:tc>
        <w:tc>
          <w:tcPr>
            <w:tcW w:type="dxa" w:w="1440"/>
          </w:tcPr>
          <w:p>
            <w:r>
              <w:rPr>
                <w:rFonts w:ascii="Calibri" w:hAnsi="Calibri"/>
                <w:sz w:val="22"/>
              </w:rPr>
              <w:t>Jun 30, 2026</w:t>
            </w:r>
          </w:p>
        </w:tc>
        <w:tc>
          <w:tcPr>
            <w:tcW w:type="dxa" w:w="1440"/>
          </w:tcPr>
          <w:p>
            <w:r>
              <w:rPr>
                <w:rFonts w:ascii="Calibri" w:hAnsi="Calibri"/>
                <w:sz w:val="22"/>
              </w:rPr>
              <w:t>Routine director deferred stock unit award. Not a market transaction.</w:t>
            </w:r>
          </w:p>
        </w:tc>
      </w:tr>
    </w:tbl>
    <w:p>
      <w:r>
        <w:rPr>
          <w:rFonts w:ascii="Calibri" w:hAnsi="Calibri"/>
          <w:i/>
          <w:color w:val="525866"/>
          <w:sz w:val="22"/>
        </w:rPr>
        <w:t>All Form 4 filings since April 24, 2026 (Q1 2026 earnings date) consist exclusively of routine equity award grants (RSUs and DSUs) to non-executive directors and a standard RSU vesting/tax-withholding event for COO John Orr. There are no open-market purchases (Code P) or discretionary sales (Code S) by any executive officer or director. The absence of any pre-earnings discretionary selling is a mild positive signal, though the lack of open-market buying means insiders are not actively signaling conviction ahead of the print.</w:t>
      </w:r>
    </w:p>
    <w:p>
      <w:r>
        <w:rPr>
          <w:rFonts w:ascii="Calibri" w:hAnsi="Calibri"/>
          <w:i/>
          <w:color w:val="525866"/>
          <w:sz w:val="22"/>
        </w:rPr>
        <w:t>Source: SEC Form 4 filings, insider transaction data.</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