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Norfolk Southern Corporation (NSC)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Norfolk Southern Corporation</w:t>
            </w:r>
          </w:p>
        </w:tc>
      </w:tr>
      <w:tr>
        <w:tc>
          <w:tcPr>
            <w:tcW w:type="dxa" w:w="4320"/>
          </w:tcPr>
          <w:p>
            <w:r>
              <w:rPr>
                <w:rFonts w:ascii="Calibri" w:hAnsi="Calibri"/>
                <w:b/>
                <w:sz w:val="22"/>
              </w:rPr>
              <w:t>Ticker</w:t>
            </w:r>
          </w:p>
        </w:tc>
        <w:tc>
          <w:tcPr>
            <w:tcW w:type="dxa" w:w="4320"/>
          </w:tcPr>
          <w:p>
            <w:r>
              <w:rPr>
                <w:rFonts w:ascii="Calibri" w:hAnsi="Calibri"/>
                <w:sz w:val="22"/>
              </w:rPr>
              <w:t>NSC (NYSE)</w:t>
            </w:r>
          </w:p>
        </w:tc>
      </w:tr>
      <w:tr>
        <w:tc>
          <w:tcPr>
            <w:tcW w:type="dxa" w:w="4320"/>
          </w:tcPr>
          <w:p>
            <w:r>
              <w:rPr>
                <w:rFonts w:ascii="Calibri" w:hAnsi="Calibri"/>
                <w:b/>
                <w:sz w:val="22"/>
              </w:rPr>
              <w:t>Upcoming Earnings Date</w:t>
            </w:r>
          </w:p>
        </w:tc>
        <w:tc>
          <w:tcPr>
            <w:tcW w:type="dxa" w:w="4320"/>
          </w:tcPr>
          <w:p>
            <w:r>
              <w:rPr>
                <w:rFonts w:ascii="Calibri" w:hAnsi="Calibri"/>
                <w:sz w:val="22"/>
              </w:rPr>
              <w:t>July 23, 2026 (10:00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22, 2026</w:t>
            </w:r>
          </w:p>
        </w:tc>
      </w:tr>
      <w:tr>
        <w:tc>
          <w:tcPr>
            <w:tcW w:type="dxa" w:w="4320"/>
          </w:tcPr>
          <w:p>
            <w:r>
              <w:rPr>
                <w:rFonts w:ascii="Calibri" w:hAnsi="Calibri"/>
                <w:b/>
                <w:sz w:val="22"/>
              </w:rPr>
              <w:t>Last Earnings Date</w:t>
            </w:r>
          </w:p>
        </w:tc>
        <w:tc>
          <w:tcPr>
            <w:tcW w:type="dxa" w:w="4320"/>
          </w:tcPr>
          <w:p>
            <w:r>
              <w:rPr>
                <w:rFonts w:ascii="Calibri" w:hAnsi="Calibri"/>
                <w:sz w:val="22"/>
              </w:rPr>
              <w:t>April 24,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has been revised meaningfully higher since the Q1 print, the bar is achievable given CSX's blowout Q2 and JBHT's record intermodal volumes, but fuel cost headwinds and merger-related share losses remain the key swing factors that could prevent a clean beat.</w:t>
      </w:r>
    </w:p>
    <w:p>
      <w:r>
        <w:rPr>
          <w:rFonts w:ascii="Calibri" w:hAnsi="Calibri"/>
          <w:color w:val="525866"/>
          <w:sz w:val="22"/>
        </w:rPr>
        <w:t xml:space="preserve">Heading into Q2 2026, the consensus bar for NSC has risen materially since the April 24 print — operating EPS estimates have moved from ~$3.09 to ~$3.29 and revenue consensus has climbed from ~$3.21B to ~$3.35B — reflecting the market's growing confidence in the intermodal recovery thesis and fuel surcharge tailwinds. Management guided for roughly </w:t>
      </w:r>
      <w:r>
        <w:rPr>
          <w:rFonts w:ascii="Calibri" w:hAnsi="Calibri"/>
          <w:b/>
          <w:color w:val="525866"/>
          <w:sz w:val="22"/>
        </w:rPr>
        <w:t>200 basis points of sequential OR improvement</w:t>
      </w:r>
      <w:r>
        <w:rPr>
          <w:rFonts w:ascii="Calibri" w:hAnsi="Calibri"/>
          <w:color w:val="525866"/>
          <w:sz w:val="22"/>
        </w:rPr>
        <w:t xml:space="preserve"> from Q1's 68.7% adjusted OR, implying a Q2 OR in the ~66.5% range, which is broadly in line with current consensus of ~66.3%. The tone from the Q1 call was notably more constructive than prior quarters, with CEO Mark George citing green shoots in manufacturing, domestic intermodal tailwinds from higher fuel prices, and an industrial development pipeline beginning to convert — a meaningful shift from the cautious posture of Q3/Q4 2025. Peer read-throughs are strongly supportive: CSX reported a record revenue quarter with 6% volume growth and 240 bps of margin expansion, while JBHT posted its first double-digit intermodal volume growth quarter in over a decade, with Eastern network loads up 16% — a direct positive signal for NSC's intermodal franchise. The stock has rallied ~19% over the past 12 months and ~9% over the past month, with multiple expansion accounting for the majority of the move, suggesting the market has already priced in a solid quarter. The </w:t>
      </w:r>
      <w:r>
        <w:rPr>
          <w:rFonts w:ascii="Calibri" w:hAnsi="Calibri"/>
          <w:b/>
          <w:color w:val="525866"/>
          <w:sz w:val="22"/>
        </w:rPr>
        <w:t>key wildcard</w:t>
      </w:r>
      <w:r>
        <w:rPr>
          <w:rFonts w:ascii="Calibri" w:hAnsi="Calibri"/>
          <w:color w:val="525866"/>
          <w:sz w:val="22"/>
        </w:rPr>
        <w:t xml:space="preserve"> is fuel: diesel prices surged ~45% year-over-year in March and remained elevated into Q2, and the two-month fuel surcharge lag on merchandise/coal means NSC faces a structural headwind that CSX (with a shorter lag) partially avoided — any upside surprise on fuel efficiency or surcharge recovery could be the difference between a beat and an in-line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bar heading into the print — revenue estimates have risen ~$140M since the Q1 earnings date, implying ~12% YoY growth. </w:t>
      </w:r>
      <w:r>
        <w:rPr>
          <w:rFonts w:ascii="Calibri" w:hAnsi="Calibri"/>
          <w:b/>
          <w:color w:val="525866"/>
          <w:sz w:val="22"/>
        </w:rPr>
        <w:t>Operating ratio is the bigger swing factor</w:t>
      </w:r>
      <w:r>
        <w:rPr>
          <w:rFonts w:ascii="Calibri" w:hAnsi="Calibri"/>
          <w:color w:val="525866"/>
          <w:sz w:val="22"/>
        </w:rPr>
        <w:t>: management guided ~200 bps of sequential improvement from Q1's 68.7%, and any fuel-driven miss on that target would be the primary downside risk.</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$2.998B</w:t>
            </w:r>
          </w:p>
        </w:tc>
        <w:tc>
          <w:tcPr>
            <w:tcW w:type="dxa" w:w="1234"/>
          </w:tcPr>
          <w:p>
            <w:r>
              <w:rPr>
                <w:rFonts w:ascii="Calibri" w:hAnsi="Calibri"/>
                <w:sz w:val="22"/>
              </w:rPr>
              <w:t>$3.110B</w:t>
            </w:r>
          </w:p>
        </w:tc>
        <w:tc>
          <w:tcPr>
            <w:tcW w:type="dxa" w:w="1234"/>
          </w:tcPr>
          <w:p>
            <w:r>
              <w:rPr>
                <w:rFonts w:ascii="Calibri" w:hAnsi="Calibri"/>
                <w:sz w:val="22"/>
              </w:rPr>
              <w:t>$3.351B</w:t>
            </w:r>
          </w:p>
        </w:tc>
        <w:tc>
          <w:tcPr>
            <w:tcW w:type="dxa" w:w="1234"/>
          </w:tcPr>
          <w:p>
            <w:r>
              <w:rPr>
                <w:rFonts w:ascii="Calibri" w:hAnsi="Calibri"/>
                <w:b/>
                <w:color w:val="30A46C"/>
                <w:sz w:val="22"/>
              </w:rPr>
              <w:t>+7.8%</w:t>
            </w:r>
          </w:p>
        </w:tc>
        <w:tc>
          <w:tcPr>
            <w:tcW w:type="dxa" w:w="1234"/>
          </w:tcPr>
          <w:p>
            <w:r>
              <w:rPr>
                <w:rFonts w:ascii="Calibri" w:hAnsi="Calibri"/>
                <w:sz w:val="22"/>
              </w:rPr>
              <w:t>Uptick from Q1; no specific $ range</w:t>
            </w:r>
          </w:p>
        </w:tc>
        <w:tc>
          <w:tcPr>
            <w:tcW w:type="dxa" w:w="1234"/>
          </w:tcPr>
          <w:p>
            <w:r>
              <w:rPr>
                <w:rFonts w:ascii="Calibri" w:hAnsi="Calibri"/>
                <w:sz w:val="22"/>
              </w:rPr>
              <w:t>Above qualitative guide</w:t>
            </w:r>
          </w:p>
        </w:tc>
      </w:tr>
      <w:tr>
        <w:tc>
          <w:tcPr>
            <w:tcW w:type="dxa" w:w="1234"/>
          </w:tcPr>
          <w:p>
            <w:r>
              <w:rPr>
                <w:rFonts w:ascii="Calibri" w:hAnsi="Calibri"/>
                <w:sz w:val="22"/>
              </w:rPr>
              <w:t>Adj. Operating EPS ($)</w:t>
            </w:r>
          </w:p>
        </w:tc>
        <w:tc>
          <w:tcPr>
            <w:tcW w:type="dxa" w:w="1234"/>
          </w:tcPr>
          <w:p>
            <w:r>
              <w:rPr>
                <w:rFonts w:ascii="Calibri" w:hAnsi="Calibri"/>
                <w:sz w:val="22"/>
              </w:rPr>
              <w:t>$2.65</w:t>
            </w:r>
          </w:p>
        </w:tc>
        <w:tc>
          <w:tcPr>
            <w:tcW w:type="dxa" w:w="1234"/>
          </w:tcPr>
          <w:p>
            <w:r>
              <w:rPr>
                <w:rFonts w:ascii="Calibri" w:hAnsi="Calibri"/>
                <w:sz w:val="22"/>
              </w:rPr>
              <w:t>$3.29</w:t>
            </w:r>
          </w:p>
        </w:tc>
        <w:tc>
          <w:tcPr>
            <w:tcW w:type="dxa" w:w="1234"/>
          </w:tcPr>
          <w:p>
            <w:r>
              <w:rPr>
                <w:rFonts w:ascii="Calibri" w:hAnsi="Calibri"/>
                <w:sz w:val="22"/>
              </w:rPr>
              <w:t>$3.29</w:t>
            </w:r>
          </w:p>
        </w:tc>
        <w:tc>
          <w:tcPr>
            <w:tcW w:type="dxa" w:w="1234"/>
          </w:tcPr>
          <w:p>
            <w:r>
              <w:rPr>
                <w:rFonts w:ascii="Calibri" w:hAnsi="Calibri"/>
                <w:sz w:val="22"/>
              </w:rPr>
              <w:t>0.0%</w:t>
            </w:r>
          </w:p>
        </w:tc>
        <w:tc>
          <w:tcPr>
            <w:tcW w:type="dxa" w:w="1234"/>
          </w:tcPr>
          <w:p>
            <w:r>
              <w:rPr>
                <w:rFonts w:ascii="Calibri" w:hAnsi="Calibri"/>
                <w:sz w:val="22"/>
              </w:rPr>
              <w:t>No explicit EPS guide</w:t>
            </w:r>
          </w:p>
        </w:tc>
        <w:tc>
          <w:tcPr>
            <w:tcW w:type="dxa" w:w="1234"/>
          </w:tcPr>
          <w:p>
            <w:r>
              <w:rPr>
                <w:rFonts w:ascii="Calibri" w:hAnsi="Calibri"/>
                <w:sz w:val="22"/>
              </w:rPr>
              <w:t>N/A</w:t>
            </w:r>
          </w:p>
        </w:tc>
      </w:tr>
      <w:tr>
        <w:tc>
          <w:tcPr>
            <w:tcW w:type="dxa" w:w="1234"/>
          </w:tcPr>
          <w:p>
            <w:r>
              <w:rPr>
                <w:rFonts w:ascii="Calibri" w:hAnsi="Calibri"/>
                <w:sz w:val="22"/>
              </w:rPr>
              <w:t>Adj. Operating Ratio (%)</w:t>
            </w:r>
          </w:p>
        </w:tc>
        <w:tc>
          <w:tcPr>
            <w:tcW w:type="dxa" w:w="1234"/>
          </w:tcPr>
          <w:p>
            <w:r>
              <w:rPr>
                <w:rFonts w:ascii="Calibri" w:hAnsi="Calibri"/>
                <w:sz w:val="22"/>
              </w:rPr>
              <w:t>68.7%</w:t>
            </w:r>
          </w:p>
        </w:tc>
        <w:tc>
          <w:tcPr>
            <w:tcW w:type="dxa" w:w="1234"/>
          </w:tcPr>
          <w:p>
            <w:r>
              <w:rPr>
                <w:rFonts w:ascii="Calibri" w:hAnsi="Calibri"/>
                <w:sz w:val="22"/>
              </w:rPr>
              <w:t>63.4%</w:t>
            </w:r>
          </w:p>
        </w:tc>
        <w:tc>
          <w:tcPr>
            <w:tcW w:type="dxa" w:w="1234"/>
          </w:tcPr>
          <w:p>
            <w:r>
              <w:rPr>
                <w:rFonts w:ascii="Calibri" w:hAnsi="Calibri"/>
                <w:sz w:val="22"/>
              </w:rPr>
              <w:t>66.3%</w:t>
            </w:r>
          </w:p>
        </w:tc>
        <w:tc>
          <w:tcPr>
            <w:tcW w:type="dxa" w:w="1234"/>
          </w:tcPr>
          <w:p>
            <w:r>
              <w:rPr>
                <w:rFonts w:ascii="Calibri" w:hAnsi="Calibri"/>
                <w:b/>
                <w:color w:val="E5484D"/>
                <w:sz w:val="22"/>
              </w:rPr>
              <w:t>+290 bps</w:t>
            </w:r>
          </w:p>
        </w:tc>
        <w:tc>
          <w:tcPr>
            <w:tcW w:type="dxa" w:w="1234"/>
          </w:tcPr>
          <w:p>
            <w:r>
              <w:rPr>
                <w:rFonts w:ascii="Calibri" w:hAnsi="Calibri"/>
                <w:sz w:val="22"/>
              </w:rPr>
              <w:t>~66.5% (Q1 68.7% − ~200 bps)</w:t>
            </w:r>
          </w:p>
        </w:tc>
        <w:tc>
          <w:tcPr>
            <w:tcW w:type="dxa" w:w="1234"/>
          </w:tcPr>
          <w:p>
            <w:r>
              <w:rPr>
                <w:rFonts w:ascii="Calibri" w:hAnsi="Calibri"/>
                <w:sz w:val="22"/>
              </w:rPr>
              <w:t>−20 bps vs. guide midpoint</w:t>
            </w:r>
          </w:p>
        </w:tc>
      </w:tr>
      <w:tr>
        <w:tc>
          <w:tcPr>
            <w:tcW w:type="dxa" w:w="1234"/>
          </w:tcPr>
          <w:p>
            <w:r>
              <w:rPr>
                <w:rFonts w:ascii="Calibri" w:hAnsi="Calibri"/>
                <w:sz w:val="22"/>
              </w:rPr>
              <w:t>Total Carloads (K units)</w:t>
            </w:r>
          </w:p>
        </w:tc>
        <w:tc>
          <w:tcPr>
            <w:tcW w:type="dxa" w:w="1234"/>
          </w:tcPr>
          <w:p>
            <w:r>
              <w:rPr>
                <w:rFonts w:ascii="Calibri" w:hAnsi="Calibri"/>
                <w:sz w:val="22"/>
              </w:rPr>
              <w:t>1,717K</w:t>
            </w:r>
          </w:p>
        </w:tc>
        <w:tc>
          <w:tcPr>
            <w:tcW w:type="dxa" w:w="1234"/>
          </w:tcPr>
          <w:p>
            <w:r>
              <w:rPr>
                <w:rFonts w:ascii="Calibri" w:hAnsi="Calibri"/>
                <w:sz w:val="22"/>
              </w:rPr>
              <w:t>1,793K</w:t>
            </w:r>
          </w:p>
        </w:tc>
        <w:tc>
          <w:tcPr>
            <w:tcW w:type="dxa" w:w="1234"/>
          </w:tcPr>
          <w:p>
            <w:r>
              <w:rPr>
                <w:rFonts w:ascii="Calibri" w:hAnsi="Calibri"/>
                <w:sz w:val="22"/>
              </w:rPr>
              <w:t>1,859K</w:t>
            </w:r>
          </w:p>
        </w:tc>
        <w:tc>
          <w:tcPr>
            <w:tcW w:type="dxa" w:w="1234"/>
          </w:tcPr>
          <w:p>
            <w:r>
              <w:rPr>
                <w:rFonts w:ascii="Calibri" w:hAnsi="Calibri"/>
                <w:b/>
                <w:color w:val="30A46C"/>
                <w:sz w:val="22"/>
              </w:rPr>
              <w:t>+3.7%</w:t>
            </w:r>
          </w:p>
        </w:tc>
        <w:tc>
          <w:tcPr>
            <w:tcW w:type="dxa" w:w="1234"/>
          </w:tcPr>
          <w:p>
            <w:r>
              <w:rPr>
                <w:rFonts w:ascii="Calibri" w:hAnsi="Calibri"/>
                <w:sz w:val="22"/>
              </w:rPr>
              <w:t>Positive; no specific target</w:t>
            </w:r>
          </w:p>
        </w:tc>
        <w:tc>
          <w:tcPr>
            <w:tcW w:type="dxa" w:w="1234"/>
          </w:tcPr>
          <w:p>
            <w:r>
              <w:rPr>
                <w:rFonts w:ascii="Calibri" w:hAnsi="Calibri"/>
                <w:sz w:val="22"/>
              </w:rPr>
              <w:t>Above prior year</w:t>
            </w:r>
          </w:p>
        </w:tc>
      </w:tr>
      <w:tr>
        <w:tc>
          <w:tcPr>
            <w:tcW w:type="dxa" w:w="1234"/>
          </w:tcPr>
          <w:p>
            <w:r>
              <w:rPr>
                <w:rFonts w:ascii="Calibri" w:hAnsi="Calibri"/>
                <w:sz w:val="22"/>
              </w:rPr>
              <w:t>Intermodal Carloads (K units)</w:t>
            </w:r>
          </w:p>
        </w:tc>
        <w:tc>
          <w:tcPr>
            <w:tcW w:type="dxa" w:w="1234"/>
          </w:tcPr>
          <w:p>
            <w:r>
              <w:rPr>
                <w:rFonts w:ascii="Calibri" w:hAnsi="Calibri"/>
                <w:sz w:val="22"/>
              </w:rPr>
              <w:t>981K</w:t>
            </w:r>
          </w:p>
        </w:tc>
        <w:tc>
          <w:tcPr>
            <w:tcW w:type="dxa" w:w="1234"/>
          </w:tcPr>
          <w:p>
            <w:r>
              <w:rPr>
                <w:rFonts w:ascii="Calibri" w:hAnsi="Calibri"/>
                <w:sz w:val="22"/>
              </w:rPr>
              <w:t>1,011K</w:t>
            </w:r>
          </w:p>
        </w:tc>
        <w:tc>
          <w:tcPr>
            <w:tcW w:type="dxa" w:w="1234"/>
          </w:tcPr>
          <w:p>
            <w:r>
              <w:rPr>
                <w:rFonts w:ascii="Calibri" w:hAnsi="Calibri"/>
                <w:sz w:val="22"/>
              </w:rPr>
              <w:t>1,060K</w:t>
            </w:r>
          </w:p>
        </w:tc>
        <w:tc>
          <w:tcPr>
            <w:tcW w:type="dxa" w:w="1234"/>
          </w:tcPr>
          <w:p>
            <w:r>
              <w:rPr>
                <w:rFonts w:ascii="Calibri" w:hAnsi="Calibri"/>
                <w:b/>
                <w:color w:val="30A46C"/>
                <w:sz w:val="22"/>
              </w:rPr>
              <w:t>+4.8%</w:t>
            </w:r>
          </w:p>
        </w:tc>
        <w:tc>
          <w:tcPr>
            <w:tcW w:type="dxa" w:w="1234"/>
          </w:tcPr>
          <w:p>
            <w:r>
              <w:rPr>
                <w:rFonts w:ascii="Calibri" w:hAnsi="Calibri"/>
                <w:sz w:val="22"/>
              </w:rPr>
              <w:t>Optimistic on domestic non-premium</w:t>
            </w:r>
          </w:p>
        </w:tc>
        <w:tc>
          <w:tcPr>
            <w:tcW w:type="dxa" w:w="1234"/>
          </w:tcPr>
          <w:p>
            <w:r>
              <w:rPr>
                <w:rFonts w:ascii="Calibri" w:hAnsi="Calibri"/>
                <w:sz w:val="22"/>
              </w:rPr>
              <w:t>Above prior year</w:t>
            </w:r>
          </w:p>
        </w:tc>
      </w:tr>
      <w:tr>
        <w:tc>
          <w:tcPr>
            <w:tcW w:type="dxa" w:w="1234"/>
          </w:tcPr>
          <w:p>
            <w:r>
              <w:rPr>
                <w:rFonts w:ascii="Calibri" w:hAnsi="Calibri"/>
                <w:sz w:val="22"/>
              </w:rPr>
              <w:t>Merchandise Revenue ($B)</w:t>
            </w:r>
          </w:p>
        </w:tc>
        <w:tc>
          <w:tcPr>
            <w:tcW w:type="dxa" w:w="1234"/>
          </w:tcPr>
          <w:p>
            <w:r>
              <w:rPr>
                <w:rFonts w:ascii="Calibri" w:hAnsi="Calibri"/>
                <w:sz w:val="22"/>
              </w:rPr>
              <w:t>$1.885B</w:t>
            </w:r>
          </w:p>
        </w:tc>
        <w:tc>
          <w:tcPr>
            <w:tcW w:type="dxa" w:w="1234"/>
          </w:tcPr>
          <w:p>
            <w:r>
              <w:rPr>
                <w:rFonts w:ascii="Calibri" w:hAnsi="Calibri"/>
                <w:sz w:val="22"/>
              </w:rPr>
              <w:t>$1.972B</w:t>
            </w:r>
          </w:p>
        </w:tc>
        <w:tc>
          <w:tcPr>
            <w:tcW w:type="dxa" w:w="1234"/>
          </w:tcPr>
          <w:p>
            <w:r>
              <w:rPr>
                <w:rFonts w:ascii="Calibri" w:hAnsi="Calibri"/>
                <w:sz w:val="22"/>
              </w:rPr>
              <w:t>$2.105B</w:t>
            </w:r>
          </w:p>
        </w:tc>
        <w:tc>
          <w:tcPr>
            <w:tcW w:type="dxa" w:w="1234"/>
          </w:tcPr>
          <w:p>
            <w:r>
              <w:rPr>
                <w:rFonts w:ascii="Calibri" w:hAnsi="Calibri"/>
                <w:b/>
                <w:color w:val="30A46C"/>
                <w:sz w:val="22"/>
              </w:rPr>
              <w:t>+6.7%</w:t>
            </w:r>
          </w:p>
        </w:tc>
        <w:tc>
          <w:tcPr>
            <w:tcW w:type="dxa" w:w="1234"/>
          </w:tcPr>
          <w:p>
            <w:r>
              <w:rPr>
                <w:rFonts w:ascii="Calibri" w:hAnsi="Calibri"/>
                <w:sz w:val="22"/>
              </w:rPr>
              <w:t>Positive; share gains in chemicals/auto</w:t>
            </w:r>
          </w:p>
        </w:tc>
        <w:tc>
          <w:tcPr>
            <w:tcW w:type="dxa" w:w="1234"/>
          </w:tcPr>
          <w:p>
            <w:r>
              <w:rPr>
                <w:rFonts w:ascii="Calibri" w:hAnsi="Calibri"/>
                <w:sz w:val="22"/>
              </w:rPr>
              <w:t>Above prior year</w:t>
            </w:r>
          </w:p>
        </w:tc>
      </w:tr>
      <w:tr>
        <w:tc>
          <w:tcPr>
            <w:tcW w:type="dxa" w:w="1234"/>
          </w:tcPr>
          <w:p>
            <w:r>
              <w:rPr>
                <w:rFonts w:ascii="Calibri" w:hAnsi="Calibri"/>
                <w:sz w:val="22"/>
              </w:rPr>
              <w:t>Intermodal Revenue ($B)</w:t>
            </w:r>
          </w:p>
        </w:tc>
        <w:tc>
          <w:tcPr>
            <w:tcW w:type="dxa" w:w="1234"/>
          </w:tcPr>
          <w:p>
            <w:r>
              <w:rPr>
                <w:rFonts w:ascii="Calibri" w:hAnsi="Calibri"/>
                <w:sz w:val="22"/>
              </w:rPr>
              <w:t>$0.749B</w:t>
            </w:r>
          </w:p>
        </w:tc>
        <w:tc>
          <w:tcPr>
            <w:tcW w:type="dxa" w:w="1234"/>
          </w:tcPr>
          <w:p>
            <w:r>
              <w:rPr>
                <w:rFonts w:ascii="Calibri" w:hAnsi="Calibri"/>
                <w:sz w:val="22"/>
              </w:rPr>
              <w:t>$0.743B</w:t>
            </w:r>
          </w:p>
        </w:tc>
        <w:tc>
          <w:tcPr>
            <w:tcW w:type="dxa" w:w="1234"/>
          </w:tcPr>
          <w:p>
            <w:r>
              <w:rPr>
                <w:rFonts w:ascii="Calibri" w:hAnsi="Calibri"/>
                <w:sz w:val="22"/>
              </w:rPr>
              <w:t>$0.842B</w:t>
            </w:r>
          </w:p>
        </w:tc>
        <w:tc>
          <w:tcPr>
            <w:tcW w:type="dxa" w:w="1234"/>
          </w:tcPr>
          <w:p>
            <w:r>
              <w:rPr>
                <w:rFonts w:ascii="Calibri" w:hAnsi="Calibri"/>
                <w:b/>
                <w:color w:val="30A46C"/>
                <w:sz w:val="22"/>
              </w:rPr>
              <w:t>+13.3%</w:t>
            </w:r>
          </w:p>
        </w:tc>
        <w:tc>
          <w:tcPr>
            <w:tcW w:type="dxa" w:w="1234"/>
          </w:tcPr>
          <w:p>
            <w:r>
              <w:rPr>
                <w:rFonts w:ascii="Calibri" w:hAnsi="Calibri"/>
                <w:sz w:val="22"/>
              </w:rPr>
              <w:t>Optimistic; fuel tailwind for conversion</w:t>
            </w:r>
          </w:p>
        </w:tc>
        <w:tc>
          <w:tcPr>
            <w:tcW w:type="dxa" w:w="1234"/>
          </w:tcPr>
          <w:p>
            <w:r>
              <w:rPr>
                <w:rFonts w:ascii="Calibri" w:hAnsi="Calibri"/>
                <w:sz w:val="22"/>
              </w:rPr>
              <w:t>Above prior year</w:t>
            </w:r>
          </w:p>
        </w:tc>
      </w:tr>
      <w:tr>
        <w:tc>
          <w:tcPr>
            <w:tcW w:type="dxa" w:w="1234"/>
          </w:tcPr>
          <w:p>
            <w:r>
              <w:rPr>
                <w:rFonts w:ascii="Calibri" w:hAnsi="Calibri"/>
                <w:sz w:val="22"/>
              </w:rPr>
              <w:t>Coal Revenue ($B)</w:t>
            </w:r>
          </w:p>
        </w:tc>
        <w:tc>
          <w:tcPr>
            <w:tcW w:type="dxa" w:w="1234"/>
          </w:tcPr>
          <w:p>
            <w:r>
              <w:rPr>
                <w:rFonts w:ascii="Calibri" w:hAnsi="Calibri"/>
                <w:sz w:val="22"/>
              </w:rPr>
              <w:t>$0.364B</w:t>
            </w:r>
          </w:p>
        </w:tc>
        <w:tc>
          <w:tcPr>
            <w:tcW w:type="dxa" w:w="1234"/>
          </w:tcPr>
          <w:p>
            <w:r>
              <w:rPr>
                <w:rFonts w:ascii="Calibri" w:hAnsi="Calibri"/>
                <w:sz w:val="22"/>
              </w:rPr>
              <w:t>$0.395B</w:t>
            </w:r>
          </w:p>
        </w:tc>
        <w:tc>
          <w:tcPr>
            <w:tcW w:type="dxa" w:w="1234"/>
          </w:tcPr>
          <w:p>
            <w:r>
              <w:rPr>
                <w:rFonts w:ascii="Calibri" w:hAnsi="Calibri"/>
                <w:sz w:val="22"/>
              </w:rPr>
              <w:t>$0.397B</w:t>
            </w:r>
          </w:p>
        </w:tc>
        <w:tc>
          <w:tcPr>
            <w:tcW w:type="dxa" w:w="1234"/>
          </w:tcPr>
          <w:p>
            <w:r>
              <w:rPr>
                <w:rFonts w:ascii="Calibri" w:hAnsi="Calibri"/>
                <w:sz w:val="22"/>
              </w:rPr>
              <w:t>+0.5%</w:t>
            </w:r>
          </w:p>
        </w:tc>
        <w:tc>
          <w:tcPr>
            <w:tcW w:type="dxa" w:w="1234"/>
          </w:tcPr>
          <w:p>
            <w:r>
              <w:rPr>
                <w:rFonts w:ascii="Calibri" w:hAnsi="Calibri"/>
                <w:sz w:val="22"/>
              </w:rPr>
              <w:t>Utility positive; export thermal upside</w:t>
            </w:r>
          </w:p>
        </w:tc>
        <w:tc>
          <w:tcPr>
            <w:tcW w:type="dxa" w:w="1234"/>
          </w:tcPr>
          <w:p>
            <w:r>
              <w:rPr>
                <w:rFonts w:ascii="Calibri" w:hAnsi="Calibri"/>
                <w:sz w:val="22"/>
              </w:rPr>
              <w:t>Roughly in line</w:t>
            </w:r>
          </w:p>
        </w:tc>
      </w:tr>
    </w:tbl>
    <w:p>
      <w:r>
        <w:rPr>
          <w:rFonts w:ascii="Calibri" w:hAnsi="Calibri"/>
          <w:i/>
          <w:color w:val="525866"/>
          <w:sz w:val="22"/>
        </w:rPr>
        <w:t>Source: Visible Alpha Consensus and Actuals Data. All consensus figures as of July 22, 2026.</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KPI 1: Adjusted Operating EPS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$2.65</w:t>
            </w:r>
          </w:p>
        </w:tc>
        <w:tc>
          <w:tcPr>
            <w:tcW w:type="dxa" w:w="1728"/>
          </w:tcPr>
          <w:p>
            <w:r>
              <w:rPr>
                <w:rFonts w:ascii="Calibri" w:hAnsi="Calibri"/>
                <w:sz w:val="22"/>
              </w:rPr>
              <w:t>$2.51</w:t>
            </w:r>
          </w:p>
        </w:tc>
        <w:tc>
          <w:tcPr>
            <w:tcW w:type="dxa" w:w="1728"/>
          </w:tcPr>
          <w:p>
            <w:r>
              <w:rPr>
                <w:rFonts w:ascii="Calibri" w:hAnsi="Calibri"/>
                <w:sz w:val="22"/>
              </w:rPr>
              <w:t>+5.6%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$3.22</w:t>
            </w:r>
          </w:p>
        </w:tc>
        <w:tc>
          <w:tcPr>
            <w:tcW w:type="dxa" w:w="1728"/>
          </w:tcPr>
          <w:p>
            <w:r>
              <w:rPr>
                <w:rFonts w:ascii="Calibri" w:hAnsi="Calibri"/>
                <w:sz w:val="22"/>
              </w:rPr>
              <w:t>$2.79</w:t>
            </w:r>
          </w:p>
        </w:tc>
        <w:tc>
          <w:tcPr>
            <w:tcW w:type="dxa" w:w="1728"/>
          </w:tcPr>
          <w:p>
            <w:r>
              <w:rPr>
                <w:rFonts w:ascii="Calibri" w:hAnsi="Calibri"/>
                <w:sz w:val="22"/>
              </w:rPr>
              <w:t>+15.4%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$3.30</w:t>
            </w:r>
          </w:p>
        </w:tc>
        <w:tc>
          <w:tcPr>
            <w:tcW w:type="dxa" w:w="1728"/>
          </w:tcPr>
          <w:p>
            <w:r>
              <w:rPr>
                <w:rFonts w:ascii="Calibri" w:hAnsi="Calibri"/>
                <w:sz w:val="22"/>
              </w:rPr>
              <w:t>$3.19</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$3.29</w:t>
            </w:r>
          </w:p>
        </w:tc>
        <w:tc>
          <w:tcPr>
            <w:tcW w:type="dxa" w:w="1728"/>
          </w:tcPr>
          <w:p>
            <w:r>
              <w:rPr>
                <w:rFonts w:ascii="Calibri" w:hAnsi="Calibri"/>
                <w:sz w:val="22"/>
              </w:rPr>
              <w:t>$3.31</w:t>
            </w:r>
          </w:p>
        </w:tc>
        <w:tc>
          <w:tcPr>
            <w:tcW w:type="dxa" w:w="1728"/>
          </w:tcPr>
          <w:p>
            <w:r>
              <w:rPr>
                <w:rFonts w:ascii="Calibri" w:hAnsi="Calibri"/>
                <w:sz w:val="22"/>
              </w:rPr>
              <w:t>−0.6%</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$2.69</w:t>
            </w:r>
          </w:p>
        </w:tc>
        <w:tc>
          <w:tcPr>
            <w:tcW w:type="dxa" w:w="1728"/>
          </w:tcPr>
          <w:p>
            <w:r>
              <w:rPr>
                <w:rFonts w:ascii="Calibri" w:hAnsi="Calibri"/>
                <w:sz w:val="22"/>
              </w:rPr>
              <w:t>$2.70</w:t>
            </w:r>
          </w:p>
        </w:tc>
        <w:tc>
          <w:tcPr>
            <w:tcW w:type="dxa" w:w="1728"/>
          </w:tcPr>
          <w:p>
            <w:r>
              <w:rPr>
                <w:rFonts w:ascii="Calibri" w:hAnsi="Calibri"/>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$3.04</w:t>
            </w:r>
          </w:p>
        </w:tc>
        <w:tc>
          <w:tcPr>
            <w:tcW w:type="dxa" w:w="1728"/>
          </w:tcPr>
          <w:p>
            <w:r>
              <w:rPr>
                <w:rFonts w:ascii="Calibri" w:hAnsi="Calibri"/>
                <w:sz w:val="22"/>
              </w:rPr>
              <w:t>$2.95</w:t>
            </w:r>
          </w:p>
        </w:tc>
        <w:tc>
          <w:tcPr>
            <w:tcW w:type="dxa" w:w="1728"/>
          </w:tcPr>
          <w:p>
            <w:r>
              <w:rPr>
                <w:rFonts w:ascii="Calibri" w:hAnsi="Calibri"/>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$3.25</w:t>
            </w:r>
          </w:p>
        </w:tc>
        <w:tc>
          <w:tcPr>
            <w:tcW w:type="dxa" w:w="1728"/>
          </w:tcPr>
          <w:p>
            <w:r>
              <w:rPr>
                <w:rFonts w:ascii="Calibri" w:hAnsi="Calibri"/>
                <w:sz w:val="22"/>
              </w:rPr>
              <w:t>$3.11</w:t>
            </w:r>
          </w:p>
        </w:tc>
        <w:tc>
          <w:tcPr>
            <w:tcW w:type="dxa" w:w="1728"/>
          </w:tcPr>
          <w:p>
            <w:r>
              <w:rPr>
                <w:rFonts w:ascii="Calibri" w:hAnsi="Calibri"/>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$3.06*</w:t>
            </w:r>
          </w:p>
        </w:tc>
        <w:tc>
          <w:tcPr>
            <w:tcW w:type="dxa" w:w="1728"/>
          </w:tcPr>
          <w:p>
            <w:r>
              <w:rPr>
                <w:rFonts w:ascii="Calibri" w:hAnsi="Calibri"/>
                <w:sz w:val="22"/>
              </w:rPr>
              <w:t>N/A — pre-VA window</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*Q2 2024 consensus not available in VA window. Source: Visible Alpha Consensus and Actuals Data.</w:t>
      </w:r>
    </w:p>
    <w:p>
      <w:pPr>
        <w:pStyle w:val="Heading3"/>
      </w:pPr>
      <w:r>
        <w:rPr>
          <w:rFonts w:ascii="Calibri" w:hAnsi="Calibri"/>
          <w:b/>
          <w:color w:val="3B4259"/>
          <w:sz w:val="24"/>
        </w:rPr>
        <w:t>KPI 2: Adjusted Operating Ratio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68.7%</w:t>
            </w:r>
          </w:p>
        </w:tc>
        <w:tc>
          <w:tcPr>
            <w:tcW w:type="dxa" w:w="1728"/>
          </w:tcPr>
          <w:p>
            <w:r>
              <w:rPr>
                <w:rFonts w:ascii="Calibri" w:hAnsi="Calibri"/>
                <w:sz w:val="22"/>
              </w:rPr>
              <w:t>69.8%</w:t>
            </w:r>
          </w:p>
        </w:tc>
        <w:tc>
          <w:tcPr>
            <w:tcW w:type="dxa" w:w="1728"/>
          </w:tcPr>
          <w:p>
            <w:r>
              <w:rPr>
                <w:rFonts w:ascii="Calibri" w:hAnsi="Calibri"/>
                <w:sz w:val="22"/>
              </w:rPr>
              <w:t>−110 bps</w:t>
            </w:r>
          </w:p>
        </w:tc>
        <w:tc>
          <w:tcPr>
            <w:tcW w:type="dxa" w:w="1728"/>
          </w:tcPr>
          <w:p>
            <w:r>
              <w:rPr>
                <w:rFonts w:ascii="Calibri" w:hAnsi="Calibri"/>
                <w:b/>
                <w:color w:val="30A46C"/>
                <w:sz w:val="22"/>
              </w:rPr>
              <w:t>Beat (lower OR)</w:t>
            </w:r>
          </w:p>
        </w:tc>
      </w:tr>
      <w:tr>
        <w:tc>
          <w:tcPr>
            <w:tcW w:type="dxa" w:w="1728"/>
          </w:tcPr>
          <w:p>
            <w:r>
              <w:rPr>
                <w:rFonts w:ascii="Calibri" w:hAnsi="Calibri"/>
                <w:sz w:val="22"/>
              </w:rPr>
              <w:t>Q4 2025</w:t>
            </w:r>
          </w:p>
        </w:tc>
        <w:tc>
          <w:tcPr>
            <w:tcW w:type="dxa" w:w="1728"/>
          </w:tcPr>
          <w:p>
            <w:r>
              <w:rPr>
                <w:rFonts w:ascii="Calibri" w:hAnsi="Calibri"/>
                <w:sz w:val="22"/>
              </w:rPr>
              <w:t>65.3%</w:t>
            </w:r>
          </w:p>
        </w:tc>
        <w:tc>
          <w:tcPr>
            <w:tcW w:type="dxa" w:w="1728"/>
          </w:tcPr>
          <w:p>
            <w:r>
              <w:rPr>
                <w:rFonts w:ascii="Calibri" w:hAnsi="Calibri"/>
                <w:sz w:val="22"/>
              </w:rPr>
              <w:t>67.2%</w:t>
            </w:r>
          </w:p>
        </w:tc>
        <w:tc>
          <w:tcPr>
            <w:tcW w:type="dxa" w:w="1728"/>
          </w:tcPr>
          <w:p>
            <w:r>
              <w:rPr>
                <w:rFonts w:ascii="Calibri" w:hAnsi="Calibri"/>
                <w:sz w:val="22"/>
              </w:rPr>
              <w:t>−190 bps</w:t>
            </w:r>
          </w:p>
        </w:tc>
        <w:tc>
          <w:tcPr>
            <w:tcW w:type="dxa" w:w="1728"/>
          </w:tcPr>
          <w:p>
            <w:r>
              <w:rPr>
                <w:rFonts w:ascii="Calibri" w:hAnsi="Calibri"/>
                <w:b/>
                <w:color w:val="30A46C"/>
                <w:sz w:val="22"/>
              </w:rPr>
              <w:t>Beat (lower OR)</w:t>
            </w:r>
          </w:p>
        </w:tc>
      </w:tr>
      <w:tr>
        <w:tc>
          <w:tcPr>
            <w:tcW w:type="dxa" w:w="1728"/>
          </w:tcPr>
          <w:p>
            <w:r>
              <w:rPr>
                <w:rFonts w:ascii="Calibri" w:hAnsi="Calibri"/>
                <w:sz w:val="22"/>
              </w:rPr>
              <w:t>Q3 2025</w:t>
            </w:r>
          </w:p>
        </w:tc>
        <w:tc>
          <w:tcPr>
            <w:tcW w:type="dxa" w:w="1728"/>
          </w:tcPr>
          <w:p>
            <w:r>
              <w:rPr>
                <w:rFonts w:ascii="Calibri" w:hAnsi="Calibri"/>
                <w:sz w:val="22"/>
              </w:rPr>
              <w:t>63.3%</w:t>
            </w:r>
          </w:p>
        </w:tc>
        <w:tc>
          <w:tcPr>
            <w:tcW w:type="dxa" w:w="1728"/>
          </w:tcPr>
          <w:p>
            <w:r>
              <w:rPr>
                <w:rFonts w:ascii="Calibri" w:hAnsi="Calibri"/>
                <w:sz w:val="22"/>
              </w:rPr>
              <w:t>64.3%</w:t>
            </w:r>
          </w:p>
        </w:tc>
        <w:tc>
          <w:tcPr>
            <w:tcW w:type="dxa" w:w="1728"/>
          </w:tcPr>
          <w:p>
            <w:r>
              <w:rPr>
                <w:rFonts w:ascii="Calibri" w:hAnsi="Calibri"/>
                <w:sz w:val="22"/>
              </w:rPr>
              <w:t>−100 bps</w:t>
            </w:r>
          </w:p>
        </w:tc>
        <w:tc>
          <w:tcPr>
            <w:tcW w:type="dxa" w:w="1728"/>
          </w:tcPr>
          <w:p>
            <w:r>
              <w:rPr>
                <w:rFonts w:ascii="Calibri" w:hAnsi="Calibri"/>
                <w:b/>
                <w:color w:val="30A46C"/>
                <w:sz w:val="22"/>
              </w:rPr>
              <w:t>Beat (lower OR)</w:t>
            </w:r>
          </w:p>
        </w:tc>
      </w:tr>
      <w:tr>
        <w:tc>
          <w:tcPr>
            <w:tcW w:type="dxa" w:w="1728"/>
          </w:tcPr>
          <w:p>
            <w:r>
              <w:rPr>
                <w:rFonts w:ascii="Calibri" w:hAnsi="Calibri"/>
                <w:sz w:val="22"/>
              </w:rPr>
              <w:t>Q2 2025</w:t>
            </w:r>
          </w:p>
        </w:tc>
        <w:tc>
          <w:tcPr>
            <w:tcW w:type="dxa" w:w="1728"/>
          </w:tcPr>
          <w:p>
            <w:r>
              <w:rPr>
                <w:rFonts w:ascii="Calibri" w:hAnsi="Calibri"/>
                <w:sz w:val="22"/>
              </w:rPr>
              <w:t>63.4%</w:t>
            </w:r>
          </w:p>
        </w:tc>
        <w:tc>
          <w:tcPr>
            <w:tcW w:type="dxa" w:w="1728"/>
          </w:tcPr>
          <w:p>
            <w:r>
              <w:rPr>
                <w:rFonts w:ascii="Calibri" w:hAnsi="Calibri"/>
                <w:sz w:val="22"/>
              </w:rPr>
              <w:t>63.5%</w:t>
            </w:r>
          </w:p>
        </w:tc>
        <w:tc>
          <w:tcPr>
            <w:tcW w:type="dxa" w:w="1728"/>
          </w:tcPr>
          <w:p>
            <w:r>
              <w:rPr>
                <w:rFonts w:ascii="Calibri" w:hAnsi="Calibri"/>
                <w:sz w:val="22"/>
              </w:rPr>
              <w:t>−10 bps</w:t>
            </w:r>
          </w:p>
        </w:tc>
        <w:tc>
          <w:tcPr>
            <w:tcW w:type="dxa" w:w="1728"/>
          </w:tcPr>
          <w:p>
            <w:r>
              <w:rPr>
                <w:rFonts w:ascii="Calibri" w:hAnsi="Calibri"/>
                <w:b/>
                <w:color w:val="30A46C"/>
                <w:sz w:val="22"/>
              </w:rPr>
              <w:t>Slight Beat</w:t>
            </w:r>
          </w:p>
        </w:tc>
      </w:tr>
      <w:tr>
        <w:tc>
          <w:tcPr>
            <w:tcW w:type="dxa" w:w="1728"/>
          </w:tcPr>
          <w:p>
            <w:r>
              <w:rPr>
                <w:rFonts w:ascii="Calibri" w:hAnsi="Calibri"/>
                <w:sz w:val="22"/>
              </w:rPr>
              <w:t>Q1 2025</w:t>
            </w:r>
          </w:p>
        </w:tc>
        <w:tc>
          <w:tcPr>
            <w:tcW w:type="dxa" w:w="1728"/>
          </w:tcPr>
          <w:p>
            <w:r>
              <w:rPr>
                <w:rFonts w:ascii="Calibri" w:hAnsi="Calibri"/>
                <w:sz w:val="22"/>
              </w:rPr>
              <w:t>67.9%</w:t>
            </w:r>
          </w:p>
        </w:tc>
        <w:tc>
          <w:tcPr>
            <w:tcW w:type="dxa" w:w="1728"/>
          </w:tcPr>
          <w:p>
            <w:r>
              <w:rPr>
                <w:rFonts w:ascii="Calibri" w:hAnsi="Calibri"/>
                <w:sz w:val="22"/>
              </w:rPr>
              <w:t>67.9%</w:t>
            </w:r>
          </w:p>
        </w:tc>
        <w:tc>
          <w:tcPr>
            <w:tcW w:type="dxa" w:w="1728"/>
          </w:tcPr>
          <w:p>
            <w:r>
              <w:rPr>
                <w:rFonts w:ascii="Calibri" w:hAnsi="Calibri"/>
                <w:sz w:val="22"/>
              </w:rPr>
              <w:t>0 bps</w:t>
            </w:r>
          </w:p>
        </w:tc>
        <w:tc>
          <w:tcPr>
            <w:tcW w:type="dxa" w:w="1728"/>
          </w:tcPr>
          <w:p>
            <w:r>
              <w:rPr>
                <w:rFonts w:ascii="Calibri" w:hAnsi="Calibri"/>
                <w:sz w:val="22"/>
              </w:rPr>
              <w:t>In Line</w:t>
            </w:r>
          </w:p>
        </w:tc>
      </w:tr>
      <w:tr>
        <w:tc>
          <w:tcPr>
            <w:tcW w:type="dxa" w:w="1728"/>
          </w:tcPr>
          <w:p>
            <w:r>
              <w:rPr>
                <w:rFonts w:ascii="Calibri" w:hAnsi="Calibri"/>
                <w:sz w:val="22"/>
              </w:rPr>
              <w:t>Q4 2024</w:t>
            </w:r>
          </w:p>
        </w:tc>
        <w:tc>
          <w:tcPr>
            <w:tcW w:type="dxa" w:w="1728"/>
          </w:tcPr>
          <w:p>
            <w:r>
              <w:rPr>
                <w:rFonts w:ascii="Calibri" w:hAnsi="Calibri"/>
                <w:sz w:val="22"/>
              </w:rPr>
              <w:t>64.9%</w:t>
            </w:r>
          </w:p>
        </w:tc>
        <w:tc>
          <w:tcPr>
            <w:tcW w:type="dxa" w:w="1728"/>
          </w:tcPr>
          <w:p>
            <w:r>
              <w:rPr>
                <w:rFonts w:ascii="Calibri" w:hAnsi="Calibri"/>
                <w:sz w:val="22"/>
              </w:rPr>
              <w:t>65.6%</w:t>
            </w:r>
          </w:p>
        </w:tc>
        <w:tc>
          <w:tcPr>
            <w:tcW w:type="dxa" w:w="1728"/>
          </w:tcPr>
          <w:p>
            <w:r>
              <w:rPr>
                <w:rFonts w:ascii="Calibri" w:hAnsi="Calibri"/>
                <w:sz w:val="22"/>
              </w:rPr>
              <w:t>−70 bps</w:t>
            </w:r>
          </w:p>
        </w:tc>
        <w:tc>
          <w:tcPr>
            <w:tcW w:type="dxa" w:w="1728"/>
          </w:tcPr>
          <w:p>
            <w:r>
              <w:rPr>
                <w:rFonts w:ascii="Calibri" w:hAnsi="Calibri"/>
                <w:b/>
                <w:color w:val="30A46C"/>
                <w:sz w:val="22"/>
              </w:rPr>
              <w:t>Beat (lower OR)</w:t>
            </w:r>
          </w:p>
        </w:tc>
      </w:tr>
      <w:tr>
        <w:tc>
          <w:tcPr>
            <w:tcW w:type="dxa" w:w="1728"/>
          </w:tcPr>
          <w:p>
            <w:r>
              <w:rPr>
                <w:rFonts w:ascii="Calibri" w:hAnsi="Calibri"/>
                <w:sz w:val="22"/>
              </w:rPr>
              <w:t>Q3 2024</w:t>
            </w:r>
          </w:p>
        </w:tc>
        <w:tc>
          <w:tcPr>
            <w:tcW w:type="dxa" w:w="1728"/>
          </w:tcPr>
          <w:p>
            <w:r>
              <w:rPr>
                <w:rFonts w:ascii="Calibri" w:hAnsi="Calibri"/>
                <w:sz w:val="22"/>
              </w:rPr>
              <w:t>63.4%</w:t>
            </w:r>
          </w:p>
        </w:tc>
        <w:tc>
          <w:tcPr>
            <w:tcW w:type="dxa" w:w="1728"/>
          </w:tcPr>
          <w:p>
            <w:r>
              <w:rPr>
                <w:rFonts w:ascii="Calibri" w:hAnsi="Calibri"/>
                <w:sz w:val="22"/>
              </w:rPr>
              <w:t>64.7%</w:t>
            </w:r>
          </w:p>
        </w:tc>
        <w:tc>
          <w:tcPr>
            <w:tcW w:type="dxa" w:w="1728"/>
          </w:tcPr>
          <w:p>
            <w:r>
              <w:rPr>
                <w:rFonts w:ascii="Calibri" w:hAnsi="Calibri"/>
                <w:sz w:val="22"/>
              </w:rPr>
              <w:t>−130 bps</w:t>
            </w:r>
          </w:p>
        </w:tc>
        <w:tc>
          <w:tcPr>
            <w:tcW w:type="dxa" w:w="1728"/>
          </w:tcPr>
          <w:p>
            <w:r>
              <w:rPr>
                <w:rFonts w:ascii="Calibri" w:hAnsi="Calibri"/>
                <w:b/>
                <w:color w:val="30A46C"/>
                <w:sz w:val="22"/>
              </w:rPr>
              <w:t>Beat (lower OR)</w:t>
            </w:r>
          </w:p>
        </w:tc>
      </w:tr>
      <w:tr>
        <w:tc>
          <w:tcPr>
            <w:tcW w:type="dxa" w:w="1728"/>
          </w:tcPr>
          <w:p>
            <w:r>
              <w:rPr>
                <w:rFonts w:ascii="Calibri" w:hAnsi="Calibri"/>
                <w:sz w:val="22"/>
              </w:rPr>
              <w:t>Q2 2024</w:t>
            </w:r>
          </w:p>
        </w:tc>
        <w:tc>
          <w:tcPr>
            <w:tcW w:type="dxa" w:w="1728"/>
          </w:tcPr>
          <w:p>
            <w:r>
              <w:rPr>
                <w:rFonts w:ascii="Calibri" w:hAnsi="Calibri"/>
                <w:sz w:val="22"/>
              </w:rPr>
              <w:t>N/A — pre-VA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Source: Visible Alpha Consensus and Actuals Data. Note: OR beats = reported OR lower than consensus (favorable). NSC has beaten OR consensus in 6 of the last 7 quarters with available data, demonstrating a consistent pattern of cost outperformance vs. Street expectations.</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maintained its full-year adjusted operating cost envelope of $8.2–$8.4B despite fuel headwinds, and provided explicit Q2 guidance of ~200 bps of sequential OR improvement from Q1's 68.7%. </w:t>
      </w:r>
      <w:r>
        <w:rPr>
          <w:rFonts w:ascii="Calibri" w:hAnsi="Calibri"/>
          <w:b/>
          <w:color w:val="525866"/>
          <w:sz w:val="22"/>
        </w:rPr>
        <w:t>No formal guidance revision has been issued since the April 24 earnings call</w:t>
      </w:r>
      <w:r>
        <w:rPr>
          <w:rFonts w:ascii="Calibri" w:hAnsi="Calibri"/>
          <w:color w:val="525866"/>
          <w:sz w:val="22"/>
        </w:rPr>
        <w:t>, but the estimate trajectory has moved sharply higher as the market has absorbed peer read-throughs and improving intermodal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24)</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OR (%)</w:t>
            </w:r>
          </w:p>
        </w:tc>
        <w:tc>
          <w:tcPr>
            <w:tcW w:type="dxa" w:w="1728"/>
          </w:tcPr>
          <w:p>
            <w:r>
              <w:rPr>
                <w:rFonts w:ascii="Calibri" w:hAnsi="Calibri"/>
                <w:sz w:val="22"/>
              </w:rPr>
              <w:t>~66.5% (Q1 68.7% minus ~200 bps sequential improvement)</w:t>
            </w:r>
          </w:p>
        </w:tc>
        <w:tc>
          <w:tcPr>
            <w:tcW w:type="dxa" w:w="1728"/>
          </w:tcPr>
          <w:p>
            <w:r>
              <w:rPr>
                <w:rFonts w:ascii="Calibri" w:hAnsi="Calibri"/>
                <w:sz w:val="22"/>
              </w:rPr>
              <w:t>—</w:t>
            </w:r>
          </w:p>
        </w:tc>
        <w:tc>
          <w:tcPr>
            <w:tcW w:type="dxa" w:w="1728"/>
          </w:tcPr>
          <w:p>
            <w:r>
              <w:rPr>
                <w:rFonts w:ascii="Calibri" w:hAnsi="Calibri"/>
                <w:sz w:val="22"/>
              </w:rPr>
              <w:t>66.3%</w:t>
            </w:r>
          </w:p>
        </w:tc>
        <w:tc>
          <w:tcPr>
            <w:tcW w:type="dxa" w:w="1728"/>
          </w:tcPr>
          <w:p>
            <w:r>
              <w:rPr>
                <w:rFonts w:ascii="Calibri" w:hAnsi="Calibri"/>
                <w:sz w:val="22"/>
              </w:rPr>
              <w:t>Consensus ~20 bps better than guide midpoint; no post-earnings revision</w:t>
            </w:r>
          </w:p>
        </w:tc>
      </w:tr>
      <w:tr>
        <w:tc>
          <w:tcPr>
            <w:tcW w:type="dxa" w:w="1728"/>
          </w:tcPr>
          <w:p>
            <w:r>
              <w:rPr>
                <w:rFonts w:ascii="Calibri" w:hAnsi="Calibri"/>
                <w:sz w:val="22"/>
              </w:rPr>
              <w:t>FY 2026 Adj. Operating Cost ($B)</w:t>
            </w:r>
          </w:p>
        </w:tc>
        <w:tc>
          <w:tcPr>
            <w:tcW w:type="dxa" w:w="1728"/>
          </w:tcPr>
          <w:p>
            <w:r>
              <w:rPr>
                <w:rFonts w:ascii="Calibri" w:hAnsi="Calibri"/>
                <w:sz w:val="22"/>
              </w:rPr>
              <w:t>$8.2B–$8.4B</w:t>
            </w:r>
          </w:p>
        </w:tc>
        <w:tc>
          <w:tcPr>
            <w:tcW w:type="dxa" w:w="1728"/>
          </w:tcPr>
          <w:p>
            <w:r>
              <w:rPr>
                <w:rFonts w:ascii="Calibri" w:hAnsi="Calibri"/>
                <w:sz w:val="22"/>
              </w:rPr>
              <w:t>—</w:t>
            </w:r>
          </w:p>
        </w:tc>
        <w:tc>
          <w:tcPr>
            <w:tcW w:type="dxa" w:w="1728"/>
          </w:tcPr>
          <w:p>
            <w:r>
              <w:rPr>
                <w:rFonts w:ascii="Calibri" w:hAnsi="Calibri"/>
                <w:sz w:val="22"/>
              </w:rPr>
              <w:t>Consistent with range</w:t>
            </w:r>
          </w:p>
        </w:tc>
        <w:tc>
          <w:tcPr>
            <w:tcW w:type="dxa" w:w="1728"/>
          </w:tcPr>
          <w:p>
            <w:r>
              <w:rPr>
                <w:rFonts w:ascii="Calibri" w:hAnsi="Calibri"/>
                <w:sz w:val="22"/>
              </w:rPr>
              <w:t>Maintained despite fuel headwinds; management expressed confidence in cost control playbook</w:t>
            </w:r>
          </w:p>
        </w:tc>
      </w:tr>
      <w:tr>
        <w:tc>
          <w:tcPr>
            <w:tcW w:type="dxa" w:w="1728"/>
          </w:tcPr>
          <w:p>
            <w:r>
              <w:rPr>
                <w:rFonts w:ascii="Calibri" w:hAnsi="Calibri"/>
                <w:sz w:val="22"/>
              </w:rPr>
              <w:t>FY 2026 Productivity Savings ($M)</w:t>
            </w:r>
          </w:p>
        </w:tc>
        <w:tc>
          <w:tcPr>
            <w:tcW w:type="dxa" w:w="1728"/>
          </w:tcPr>
          <w:p>
            <w:r>
              <w:rPr>
                <w:rFonts w:ascii="Calibri" w:hAnsi="Calibri"/>
                <w:sz w:val="22"/>
              </w:rPr>
              <w:t>$150M+</w:t>
            </w:r>
          </w:p>
        </w:tc>
        <w:tc>
          <w:tcPr>
            <w:tcW w:type="dxa" w:w="1728"/>
          </w:tcPr>
          <w:p>
            <w:r>
              <w:rPr>
                <w:rFonts w:ascii="Calibri" w:hAnsi="Calibri"/>
                <w:sz w:val="22"/>
              </w:rPr>
              <w:t>—</w:t>
            </w:r>
          </w:p>
        </w:tc>
        <w:tc>
          <w:tcPr>
            <w:tcW w:type="dxa" w:w="1728"/>
          </w:tcPr>
          <w:p>
            <w:r>
              <w:rPr>
                <w:rFonts w:ascii="Calibri" w:hAnsi="Calibri"/>
                <w:sz w:val="22"/>
              </w:rPr>
              <w:t>On track</w:t>
            </w:r>
          </w:p>
        </w:tc>
        <w:tc>
          <w:tcPr>
            <w:tcW w:type="dxa" w:w="1728"/>
          </w:tcPr>
          <w:p>
            <w:r>
              <w:rPr>
                <w:rFonts w:ascii="Calibri" w:hAnsi="Calibri"/>
                <w:sz w:val="22"/>
              </w:rPr>
              <w:t>Volume-independent; $30M+ delivered in Q1 alone from fuel efficiency and labor productivity</w:t>
            </w:r>
          </w:p>
        </w:tc>
      </w:tr>
      <w:tr>
        <w:tc>
          <w:tcPr>
            <w:tcW w:type="dxa" w:w="1728"/>
          </w:tcPr>
          <w:p>
            <w:r>
              <w:rPr>
                <w:rFonts w:ascii="Calibri" w:hAnsi="Calibri"/>
                <w:sz w:val="22"/>
              </w:rPr>
              <w:t>Q2 2026 Revenue</w:t>
            </w:r>
          </w:p>
        </w:tc>
        <w:tc>
          <w:tcPr>
            <w:tcW w:type="dxa" w:w="1728"/>
          </w:tcPr>
          <w:p>
            <w:r>
              <w:rPr>
                <w:rFonts w:ascii="Calibri" w:hAnsi="Calibri"/>
                <w:sz w:val="22"/>
              </w:rPr>
              <w:t>Qualitative: “Uptick from Q1” (Q1 actual: $2.998B)</w:t>
            </w:r>
          </w:p>
        </w:tc>
        <w:tc>
          <w:tcPr>
            <w:tcW w:type="dxa" w:w="1728"/>
          </w:tcPr>
          <w:p>
            <w:r>
              <w:rPr>
                <w:rFonts w:ascii="Calibri" w:hAnsi="Calibri"/>
                <w:sz w:val="22"/>
              </w:rPr>
              <w:t>—</w:t>
            </w:r>
          </w:p>
        </w:tc>
        <w:tc>
          <w:tcPr>
            <w:tcW w:type="dxa" w:w="1728"/>
          </w:tcPr>
          <w:p>
            <w:r>
              <w:rPr>
                <w:rFonts w:ascii="Calibri" w:hAnsi="Calibri"/>
                <w:sz w:val="22"/>
              </w:rPr>
              <w:t>$3.351B</w:t>
            </w:r>
          </w:p>
        </w:tc>
        <w:tc>
          <w:tcPr>
            <w:tcW w:type="dxa" w:w="1728"/>
          </w:tcPr>
          <w:p>
            <w:r>
              <w:rPr>
                <w:rFonts w:ascii="Calibri" w:hAnsi="Calibri"/>
                <w:sz w:val="22"/>
              </w:rPr>
              <w:t>Consensus well above Q1; reflects intermodal recovery and fuel surcharge tailwind</w:t>
            </w:r>
          </w:p>
        </w:tc>
      </w:tr>
      <w:tr>
        <w:tc>
          <w:tcPr>
            <w:tcW w:type="dxa" w:w="1728"/>
          </w:tcPr>
          <w:p>
            <w:r>
              <w:rPr>
                <w:rFonts w:ascii="Calibri" w:hAnsi="Calibri"/>
                <w:sz w:val="22"/>
              </w:rPr>
              <w:t>Fuel (FY 2026)</w:t>
            </w:r>
          </w:p>
        </w:tc>
        <w:tc>
          <w:tcPr>
            <w:tcW w:type="dxa" w:w="1728"/>
          </w:tcPr>
          <w:p>
            <w:r>
              <w:rPr>
                <w:rFonts w:ascii="Calibri" w:hAnsi="Calibri"/>
                <w:sz w:val="22"/>
              </w:rPr>
              <w:t>Net headwind for full year; Q3/Q4 expected to flip to tailwind per forward curve</w:t>
            </w:r>
          </w:p>
        </w:tc>
        <w:tc>
          <w:tcPr>
            <w:tcW w:type="dxa" w:w="1728"/>
          </w:tcPr>
          <w:p>
            <w:r>
              <w:rPr>
                <w:rFonts w:ascii="Calibri" w:hAnsi="Calibri"/>
                <w:sz w:val="22"/>
              </w:rPr>
              <w:t>—</w:t>
            </w:r>
          </w:p>
        </w:tc>
        <w:tc>
          <w:tcPr>
            <w:tcW w:type="dxa" w:w="1728"/>
          </w:tcPr>
          <w:p>
            <w:r>
              <w:rPr>
                <w:rFonts w:ascii="Calibri" w:hAnsi="Calibri"/>
                <w:sz w:val="22"/>
              </w:rPr>
              <w:t>Remains primary wildcard</w:t>
            </w:r>
          </w:p>
        </w:tc>
        <w:tc>
          <w:tcPr>
            <w:tcW w:type="dxa" w:w="1728"/>
          </w:tcPr>
          <w:p>
            <w:r>
              <w:rPr>
                <w:rFonts w:ascii="Calibri" w:hAnsi="Calibri"/>
                <w:sz w:val="22"/>
              </w:rPr>
              <w:t>Iran conflict driving elevated diesel; ~60% of fuel surcharge on 2-week lag (intermodal), ~40% on 2-month lag (merch/coal)</w:t>
            </w:r>
          </w:p>
        </w:tc>
      </w:tr>
      <w:tr>
        <w:tc>
          <w:tcPr>
            <w:tcW w:type="dxa" w:w="1728"/>
          </w:tcPr>
          <w:p>
            <w:r>
              <w:rPr>
                <w:rFonts w:ascii="Calibri" w:hAnsi="Calibri"/>
                <w:sz w:val="22"/>
              </w:rPr>
              <w:t>Merger (STB Process)</w:t>
            </w:r>
          </w:p>
        </w:tc>
        <w:tc>
          <w:tcPr>
            <w:tcW w:type="dxa" w:w="1728"/>
          </w:tcPr>
          <w:p>
            <w:r>
              <w:rPr>
                <w:rFonts w:ascii="Calibri" w:hAnsi="Calibri"/>
                <w:sz w:val="22"/>
              </w:rPr>
              <w:t>Revised application filed Apr 30; STB completeness decision by May 29; final decision expected summer 2027</w:t>
            </w:r>
          </w:p>
        </w:tc>
        <w:tc>
          <w:tcPr>
            <w:tcW w:type="dxa" w:w="1728"/>
          </w:tcPr>
          <w:p>
            <w:r>
              <w:rPr>
                <w:rFonts w:ascii="Calibri" w:hAnsi="Calibri"/>
                <w:sz w:val="22"/>
              </w:rPr>
              <w:t>—</w:t>
            </w:r>
          </w:p>
        </w:tc>
        <w:tc>
          <w:tcPr>
            <w:tcW w:type="dxa" w:w="1728"/>
          </w:tcPr>
          <w:p>
            <w:r>
              <w:rPr>
                <w:rFonts w:ascii="Calibri" w:hAnsi="Calibri"/>
                <w:sz w:val="22"/>
              </w:rPr>
              <w:t>No change</w:t>
            </w:r>
          </w:p>
        </w:tc>
        <w:tc>
          <w:tcPr>
            <w:tcW w:type="dxa" w:w="1728"/>
          </w:tcPr>
          <w:p>
            <w:r>
              <w:rPr>
                <w:rFonts w:ascii="Calibri" w:hAnsi="Calibri"/>
                <w:sz w:val="22"/>
              </w:rPr>
              <w:t>STB accepted application; procedural schedule to be published; ~1% revenue headwind from competitive responses ongoing</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sharply higher since the Q1 print — Q2 EPS consensus is up ~6.4% and revenue up ~4.5% from the post-earnings baseline — driven by peer read-throughs and improving intermodal data. </w:t>
      </w:r>
      <w:r>
        <w:rPr>
          <w:rFonts w:ascii="Calibri" w:hAnsi="Calibri"/>
          <w:b/>
          <w:color w:val="525866"/>
          <w:sz w:val="22"/>
        </w:rPr>
        <w:t>The revision trajectory is tracking well above guidance</w:t>
      </w:r>
      <w:r>
        <w:rPr>
          <w:rFonts w:ascii="Calibri" w:hAnsi="Calibri"/>
          <w:color w:val="525866"/>
          <w:sz w:val="22"/>
        </w:rPr>
        <w:t>, suggesting the market is pricing in a beat on the top line, though the OR gap vs. guidance is narrow enough that cost execution remains the key variable.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29)</w:t>
            </w:r>
          </w:p>
        </w:tc>
        <w:tc>
          <w:tcPr>
            <w:tcW w:type="dxa" w:w="1080"/>
            <w:shd w:val="clear" w:color="auto" w:fill="3B4259"/>
          </w:tcPr>
          <w:p>
            <w:r>
              <w:rPr>
                <w:rFonts w:ascii="Calibri" w:hAnsi="Calibri"/>
                <w:b/>
                <w:color w:val="FFFFFF"/>
                <w:sz w:val="22"/>
              </w:rPr>
              <w:t>Current Consensus (Jul 22)</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$3.09</w:t>
            </w:r>
          </w:p>
        </w:tc>
        <w:tc>
          <w:tcPr>
            <w:tcW w:type="dxa" w:w="1080"/>
          </w:tcPr>
          <w:p>
            <w:r>
              <w:rPr>
                <w:rFonts w:ascii="Calibri" w:hAnsi="Calibri"/>
                <w:sz w:val="22"/>
              </w:rPr>
              <w:t>$3.29</w:t>
            </w:r>
          </w:p>
        </w:tc>
        <w:tc>
          <w:tcPr>
            <w:tcW w:type="dxa" w:w="1080"/>
          </w:tcPr>
          <w:p>
            <w:r>
              <w:rPr>
                <w:rFonts w:ascii="Calibri" w:hAnsi="Calibri"/>
                <w:b/>
                <w:color w:val="30A46C"/>
                <w:sz w:val="22"/>
              </w:rPr>
              <w:t>+6.4%</w:t>
            </w:r>
          </w:p>
        </w:tc>
        <w:tc>
          <w:tcPr>
            <w:tcW w:type="dxa" w:w="1080"/>
          </w:tcPr>
          <w:p>
            <w:r>
              <w:rPr>
                <w:rFonts w:ascii="Calibri" w:hAnsi="Calibri"/>
                <w:sz w:val="22"/>
              </w:rPr>
              <w:t>No explicit guide</w:t>
            </w:r>
          </w:p>
        </w:tc>
        <w:tc>
          <w:tcPr>
            <w:tcW w:type="dxa" w:w="1080"/>
          </w:tcPr>
          <w:p>
            <w:r>
              <w:rPr>
                <w:rFonts w:ascii="Calibri" w:hAnsi="Calibri"/>
                <w:sz w:val="22"/>
              </w:rPr>
              <w:t>No explicit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$11.94</w:t>
            </w:r>
          </w:p>
        </w:tc>
        <w:tc>
          <w:tcPr>
            <w:tcW w:type="dxa" w:w="1080"/>
          </w:tcPr>
          <w:p>
            <w:r>
              <w:rPr>
                <w:rFonts w:ascii="Calibri" w:hAnsi="Calibri"/>
                <w:sz w:val="22"/>
              </w:rPr>
              <w:t>$12.37</w:t>
            </w:r>
          </w:p>
        </w:tc>
        <w:tc>
          <w:tcPr>
            <w:tcW w:type="dxa" w:w="1080"/>
          </w:tcPr>
          <w:p>
            <w:r>
              <w:rPr>
                <w:rFonts w:ascii="Calibri" w:hAnsi="Calibri"/>
                <w:b/>
                <w:color w:val="30A46C"/>
                <w:sz w:val="22"/>
              </w:rPr>
              <w:t>+3.6%</w:t>
            </w:r>
          </w:p>
        </w:tc>
        <w:tc>
          <w:tcPr>
            <w:tcW w:type="dxa" w:w="1080"/>
          </w:tcPr>
          <w:p>
            <w:r>
              <w:rPr>
                <w:rFonts w:ascii="Calibri" w:hAnsi="Calibri"/>
                <w:sz w:val="22"/>
              </w:rPr>
              <w:t>No explicit guide</w:t>
            </w:r>
          </w:p>
        </w:tc>
        <w:tc>
          <w:tcPr>
            <w:tcW w:type="dxa" w:w="1080"/>
          </w:tcPr>
          <w:p>
            <w:r>
              <w:rPr>
                <w:rFonts w:ascii="Calibri" w:hAnsi="Calibri"/>
                <w:sz w:val="22"/>
              </w:rPr>
              <w:t>No explicit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$3.206B</w:t>
            </w:r>
          </w:p>
        </w:tc>
        <w:tc>
          <w:tcPr>
            <w:tcW w:type="dxa" w:w="1080"/>
          </w:tcPr>
          <w:p>
            <w:r>
              <w:rPr>
                <w:rFonts w:ascii="Calibri" w:hAnsi="Calibri"/>
                <w:sz w:val="22"/>
              </w:rPr>
              <w:t>$3.351B</w:t>
            </w:r>
          </w:p>
        </w:tc>
        <w:tc>
          <w:tcPr>
            <w:tcW w:type="dxa" w:w="1080"/>
          </w:tcPr>
          <w:p>
            <w:r>
              <w:rPr>
                <w:rFonts w:ascii="Calibri" w:hAnsi="Calibri"/>
                <w:b/>
                <w:color w:val="30A46C"/>
                <w:sz w:val="22"/>
              </w:rPr>
              <w:t>+4.5%</w:t>
            </w:r>
          </w:p>
        </w:tc>
        <w:tc>
          <w:tcPr>
            <w:tcW w:type="dxa" w:w="1080"/>
          </w:tcPr>
          <w:p>
            <w:r>
              <w:rPr>
                <w:rFonts w:ascii="Calibri" w:hAnsi="Calibri"/>
                <w:sz w:val="22"/>
              </w:rPr>
              <w:t>Qualitative uptick from Q1 ($2.998B)</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Well above qualitative guide</w:t>
            </w:r>
          </w:p>
        </w:tc>
      </w:tr>
      <w:tr>
        <w:tc>
          <w:tcPr>
            <w:tcW w:type="dxa" w:w="1080"/>
          </w:tcPr>
          <w:p>
            <w:r>
              <w:rPr>
                <w:rFonts w:ascii="Calibri" w:hAnsi="Calibri"/>
                <w:sz w:val="22"/>
              </w:rPr>
              <w:t>Total Revenue — FY 2026</w:t>
            </w:r>
          </w:p>
        </w:tc>
        <w:tc>
          <w:tcPr>
            <w:tcW w:type="dxa" w:w="1080"/>
          </w:tcPr>
          <w:p>
            <w:r>
              <w:rPr>
                <w:rFonts w:ascii="Calibri" w:hAnsi="Calibri"/>
                <w:sz w:val="22"/>
              </w:rPr>
              <w:t>$12.630B</w:t>
            </w:r>
          </w:p>
        </w:tc>
        <w:tc>
          <w:tcPr>
            <w:tcW w:type="dxa" w:w="1080"/>
          </w:tcPr>
          <w:p>
            <w:r>
              <w:rPr>
                <w:rFonts w:ascii="Calibri" w:hAnsi="Calibri"/>
                <w:sz w:val="22"/>
              </w:rPr>
              <w:t>$12.898B</w:t>
            </w:r>
          </w:p>
        </w:tc>
        <w:tc>
          <w:tcPr>
            <w:tcW w:type="dxa" w:w="1080"/>
          </w:tcPr>
          <w:p>
            <w:r>
              <w:rPr>
                <w:rFonts w:ascii="Calibri" w:hAnsi="Calibri"/>
                <w:b/>
                <w:color w:val="30A46C"/>
                <w:sz w:val="22"/>
              </w:rPr>
              <w:t>+2.1%</w:t>
            </w:r>
          </w:p>
        </w:tc>
        <w:tc>
          <w:tcPr>
            <w:tcW w:type="dxa" w:w="1080"/>
          </w:tcPr>
          <w:p>
            <w:r>
              <w:rPr>
                <w:rFonts w:ascii="Calibri" w:hAnsi="Calibri"/>
                <w:sz w:val="22"/>
              </w:rPr>
              <w:t>No explicit FY revenue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OR — Q2 2026</w:t>
            </w:r>
          </w:p>
        </w:tc>
        <w:tc>
          <w:tcPr>
            <w:tcW w:type="dxa" w:w="1080"/>
          </w:tcPr>
          <w:p>
            <w:r>
              <w:rPr>
                <w:rFonts w:ascii="Calibri" w:hAnsi="Calibri"/>
                <w:sz w:val="22"/>
              </w:rPr>
              <w:t>66.6%</w:t>
            </w:r>
          </w:p>
        </w:tc>
        <w:tc>
          <w:tcPr>
            <w:tcW w:type="dxa" w:w="1080"/>
          </w:tcPr>
          <w:p>
            <w:r>
              <w:rPr>
                <w:rFonts w:ascii="Calibri" w:hAnsi="Calibri"/>
                <w:sz w:val="22"/>
              </w:rPr>
              <w:t>66.3%</w:t>
            </w:r>
          </w:p>
        </w:tc>
        <w:tc>
          <w:tcPr>
            <w:tcW w:type="dxa" w:w="1080"/>
          </w:tcPr>
          <w:p>
            <w:r>
              <w:rPr>
                <w:rFonts w:ascii="Calibri" w:hAnsi="Calibri"/>
                <w:b/>
                <w:color w:val="30A46C"/>
                <w:sz w:val="22"/>
              </w:rPr>
              <w:t>−30 bps</w:t>
            </w:r>
          </w:p>
        </w:tc>
        <w:tc>
          <w:tcPr>
            <w:tcW w:type="dxa" w:w="1080"/>
          </w:tcPr>
          <w:p>
            <w:r>
              <w:rPr>
                <w:rFonts w:ascii="Calibri" w:hAnsi="Calibri"/>
                <w:sz w:val="22"/>
              </w:rPr>
              <w:t>~66.5% (Q1 − 200 bps)</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−20 bps vs. guide</w:t>
            </w:r>
          </w:p>
        </w:tc>
      </w:tr>
      <w:tr>
        <w:tc>
          <w:tcPr>
            <w:tcW w:type="dxa" w:w="1080"/>
          </w:tcPr>
          <w:p>
            <w:r>
              <w:rPr>
                <w:rFonts w:ascii="Calibri" w:hAnsi="Calibri"/>
                <w:sz w:val="22"/>
              </w:rPr>
              <w:t>Adj. OR — FY 2026</w:t>
            </w:r>
          </w:p>
        </w:tc>
        <w:tc>
          <w:tcPr>
            <w:tcW w:type="dxa" w:w="1080"/>
          </w:tcPr>
          <w:p>
            <w:r>
              <w:rPr>
                <w:rFonts w:ascii="Calibri" w:hAnsi="Calibri"/>
                <w:sz w:val="22"/>
              </w:rPr>
              <w:t>67.1%</w:t>
            </w:r>
          </w:p>
        </w:tc>
        <w:tc>
          <w:tcPr>
            <w:tcW w:type="dxa" w:w="1080"/>
          </w:tcPr>
          <w:p>
            <w:r>
              <w:rPr>
                <w:rFonts w:ascii="Calibri" w:hAnsi="Calibri"/>
                <w:sz w:val="22"/>
              </w:rPr>
              <w:t>66.8%</w:t>
            </w:r>
          </w:p>
        </w:tc>
        <w:tc>
          <w:tcPr>
            <w:tcW w:type="dxa" w:w="1080"/>
          </w:tcPr>
          <w:p>
            <w:r>
              <w:rPr>
                <w:rFonts w:ascii="Calibri" w:hAnsi="Calibri"/>
                <w:b/>
                <w:color w:val="30A46C"/>
                <w:sz w:val="22"/>
              </w:rPr>
              <w:t>−30 bps</w:t>
            </w:r>
          </w:p>
        </w:tc>
        <w:tc>
          <w:tcPr>
            <w:tcW w:type="dxa" w:w="1080"/>
          </w:tcPr>
          <w:p>
            <w:r>
              <w:rPr>
                <w:rFonts w:ascii="Calibri" w:hAnsi="Calibri"/>
                <w:sz w:val="22"/>
              </w:rPr>
              <w:t>$8.2B–$8.4B cost envelope</w:t>
            </w:r>
          </w:p>
        </w:tc>
        <w:tc>
          <w:tcPr>
            <w:tcW w:type="dxa" w:w="1080"/>
          </w:tcPr>
          <w:p>
            <w:r>
              <w:rPr>
                <w:rFonts w:ascii="Calibri" w:hAnsi="Calibri"/>
                <w:sz w:val="22"/>
              </w:rPr>
              <w:t>Maintained</w:t>
            </w:r>
          </w:p>
        </w:tc>
        <w:tc>
          <w:tcPr>
            <w:tcW w:type="dxa" w:w="1080"/>
          </w:tcPr>
          <w:p>
            <w:r>
              <w:rPr>
                <w:rFonts w:ascii="Calibri" w:hAnsi="Calibri"/>
                <w:sz w:val="22"/>
              </w:rPr>
              <w:t>Unchanged</w:t>
            </w:r>
          </w:p>
        </w:tc>
        <w:tc>
          <w:tcPr>
            <w:tcW w:type="dxa" w:w="1080"/>
          </w:tcPr>
          <w:p>
            <w:r>
              <w:rPr>
                <w:rFonts w:ascii="Calibri" w:hAnsi="Calibri"/>
                <w:sz w:val="22"/>
              </w:rPr>
              <w:t>Consistent with range</w:t>
            </w:r>
          </w:p>
        </w:tc>
      </w:tr>
    </w:tbl>
    <w:p>
      <w:r>
        <w:rPr>
          <w:rFonts w:ascii="Calibri" w:hAnsi="Calibri"/>
          <w:i/>
          <w:color w:val="525866"/>
          <w:sz w:val="22"/>
        </w:rPr>
        <w:t>Source: Visible Alpha Consensus and Actuals Data. Post-earnings baseline uses consensus as of May 1, 2026 (approximately 5 trading days after the April 24 print). The ~$145M revenue revision and ~$0.20 EPS revision since the Q1 print are primarily attributable to the intermodal recovery thesis gaining traction, fuel surcharge tailwinds, and strong peer read-throughs from CSX and JBHT.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NSC's ~19% 12-month gain has been predominantly </w:t>
      </w:r>
      <w:r>
        <w:rPr>
          <w:rFonts w:ascii="Calibri" w:hAnsi="Calibri"/>
          <w:b/>
          <w:color w:val="525866"/>
          <w:sz w:val="22"/>
        </w:rPr>
        <w:t>multiple-driven</w:t>
      </w:r>
      <w:r>
        <w:rPr>
          <w:rFonts w:ascii="Calibri" w:hAnsi="Calibri"/>
          <w:color w:val="525866"/>
          <w:sz w:val="22"/>
        </w:rPr>
        <w:t xml:space="preserve"> (P/E expanded from ~20.5x to ~25.2x NTM), with EPS revisions providing a secondary tailwind. The stock has re-rated on improving operational execution and growing merger optionality, but the elevated multiple leaves limited room for error on the Q2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Time Horizon</w:t>
            </w:r>
          </w:p>
        </w:tc>
        <w:tc>
          <w:tcPr>
            <w:tcW w:type="dxa" w:w="1080"/>
            <w:shd w:val="clear" w:color="auto" w:fill="3B4259"/>
          </w:tcPr>
          <w:p>
            <w:r>
              <w:rPr>
                <w:rFonts w:ascii="Calibri" w:hAnsi="Calibri"/>
                <w:b/>
                <w:color w:val="FFFFFF"/>
                <w:sz w:val="22"/>
              </w:rPr>
              <w:t>NSC Price Return</w:t>
            </w:r>
          </w:p>
        </w:tc>
        <w:tc>
          <w:tcPr>
            <w:tcW w:type="dxa" w:w="1080"/>
            <w:shd w:val="clear" w:color="auto" w:fill="3B4259"/>
          </w:tcPr>
          <w:p>
            <w:r>
              <w:rPr>
                <w:rFonts w:ascii="Calibri" w:hAnsi="Calibri"/>
                <w:b/>
                <w:color w:val="FFFFFF"/>
                <w:sz w:val="22"/>
              </w:rPr>
              <w:t>EV/EBITDA (Start)</w:t>
            </w:r>
          </w:p>
        </w:tc>
        <w:tc>
          <w:tcPr>
            <w:tcW w:type="dxa" w:w="1080"/>
            <w:shd w:val="clear" w:color="auto" w:fill="3B4259"/>
          </w:tcPr>
          <w:p>
            <w:r>
              <w:rPr>
                <w:rFonts w:ascii="Calibri" w:hAnsi="Calibri"/>
                <w:b/>
                <w:color w:val="FFFFFF"/>
                <w:sz w:val="22"/>
              </w:rPr>
              <w:t>EV/EBITDA (Current)</w:t>
            </w:r>
          </w:p>
        </w:tc>
        <w:tc>
          <w:tcPr>
            <w:tcW w:type="dxa" w:w="1080"/>
            <w:shd w:val="clear" w:color="auto" w:fill="3B4259"/>
          </w:tcPr>
          <w:p>
            <w:r>
              <w:rPr>
                <w:rFonts w:ascii="Calibri" w:hAnsi="Calibri"/>
                <w:b/>
                <w:color w:val="FFFFFF"/>
                <w:sz w:val="22"/>
              </w:rPr>
              <w:t>Multiple Δ</w:t>
            </w:r>
          </w:p>
        </w:tc>
        <w:tc>
          <w:tcPr>
            <w:tcW w:type="dxa" w:w="1080"/>
            <w:shd w:val="clear" w:color="auto" w:fill="3B4259"/>
          </w:tcPr>
          <w:p>
            <w:r>
              <w:rPr>
                <w:rFonts w:ascii="Calibri" w:hAnsi="Calibri"/>
                <w:b/>
                <w:color w:val="FFFFFF"/>
                <w:sz w:val="22"/>
              </w:rPr>
              <w:t>P/E (Start)</w:t>
            </w:r>
          </w:p>
        </w:tc>
        <w:tc>
          <w:tcPr>
            <w:tcW w:type="dxa" w:w="1080"/>
            <w:shd w:val="clear" w:color="auto" w:fill="3B4259"/>
          </w:tcPr>
          <w:p>
            <w:r>
              <w:rPr>
                <w:rFonts w:ascii="Calibri" w:hAnsi="Calibri"/>
                <w:b/>
                <w:color w:val="FFFFFF"/>
                <w:sz w:val="22"/>
              </w:rPr>
              <w:t>P/E (Current)</w:t>
            </w:r>
          </w:p>
        </w:tc>
        <w:tc>
          <w:tcPr>
            <w:tcW w:type="dxa" w:w="1080"/>
            <w:shd w:val="clear" w:color="auto" w:fill="3B4259"/>
          </w:tcPr>
          <w:p>
            <w:r>
              <w:rPr>
                <w:rFonts w:ascii="Calibri" w:hAnsi="Calibri"/>
                <w:b/>
                <w:color w:val="FFFFFF"/>
                <w:sz w:val="22"/>
              </w:rPr>
              <w:t>P/E Δ</w:t>
            </w:r>
          </w:p>
        </w:tc>
      </w:tr>
      <w:tr>
        <w:tc>
          <w:tcPr>
            <w:tcW w:type="dxa" w:w="1080"/>
          </w:tcPr>
          <w:p>
            <w:r>
              <w:rPr>
                <w:rFonts w:ascii="Calibri" w:hAnsi="Calibri"/>
                <w:sz w:val="22"/>
              </w:rPr>
              <w:t>1 Month</w:t>
            </w:r>
          </w:p>
        </w:tc>
        <w:tc>
          <w:tcPr>
            <w:tcW w:type="dxa" w:w="1080"/>
          </w:tcPr>
          <w:p>
            <w:r>
              <w:rPr>
                <w:rFonts w:ascii="Calibri" w:hAnsi="Calibri"/>
                <w:sz w:val="22"/>
              </w:rPr>
              <w:t>+8.8%</w:t>
            </w:r>
          </w:p>
        </w:tc>
        <w:tc>
          <w:tcPr>
            <w:tcW w:type="dxa" w:w="1080"/>
          </w:tcPr>
          <w:p>
            <w:r>
              <w:rPr>
                <w:rFonts w:ascii="Calibri" w:hAnsi="Calibri"/>
                <w:sz w:val="22"/>
              </w:rPr>
              <w:t>14.3x</w:t>
            </w:r>
          </w:p>
        </w:tc>
        <w:tc>
          <w:tcPr>
            <w:tcW w:type="dxa" w:w="1080"/>
          </w:tcPr>
          <w:p>
            <w:r>
              <w:rPr>
                <w:rFonts w:ascii="Calibri" w:hAnsi="Calibri"/>
                <w:sz w:val="22"/>
              </w:rPr>
              <w:t>15.2x</w:t>
            </w:r>
          </w:p>
        </w:tc>
        <w:tc>
          <w:tcPr>
            <w:tcW w:type="dxa" w:w="1080"/>
          </w:tcPr>
          <w:p>
            <w:r>
              <w:rPr>
                <w:rFonts w:ascii="Calibri" w:hAnsi="Calibri"/>
                <w:sz w:val="22"/>
              </w:rPr>
              <w:t>+6.3%</w:t>
            </w:r>
          </w:p>
        </w:tc>
        <w:tc>
          <w:tcPr>
            <w:tcW w:type="dxa" w:w="1080"/>
          </w:tcPr>
          <w:p>
            <w:r>
              <w:rPr>
                <w:rFonts w:ascii="Calibri" w:hAnsi="Calibri"/>
                <w:sz w:val="22"/>
              </w:rPr>
              <w:t>23.5x</w:t>
            </w:r>
          </w:p>
        </w:tc>
        <w:tc>
          <w:tcPr>
            <w:tcW w:type="dxa" w:w="1080"/>
          </w:tcPr>
          <w:p>
            <w:r>
              <w:rPr>
                <w:rFonts w:ascii="Calibri" w:hAnsi="Calibri"/>
                <w:sz w:val="22"/>
              </w:rPr>
              <w:t>25.2x</w:t>
            </w:r>
          </w:p>
        </w:tc>
        <w:tc>
          <w:tcPr>
            <w:tcW w:type="dxa" w:w="1080"/>
          </w:tcPr>
          <w:p>
            <w:r>
              <w:rPr>
                <w:rFonts w:ascii="Calibri" w:hAnsi="Calibri"/>
                <w:sz w:val="22"/>
              </w:rPr>
              <w:t>+7.2%</w:t>
            </w:r>
          </w:p>
        </w:tc>
      </w:tr>
      <w:tr>
        <w:tc>
          <w:tcPr>
            <w:tcW w:type="dxa" w:w="1080"/>
          </w:tcPr>
          <w:p>
            <w:r>
              <w:rPr>
                <w:rFonts w:ascii="Calibri" w:hAnsi="Calibri"/>
                <w:sz w:val="22"/>
              </w:rPr>
              <w:t>3 Months</w:t>
            </w:r>
          </w:p>
        </w:tc>
        <w:tc>
          <w:tcPr>
            <w:tcW w:type="dxa" w:w="1080"/>
          </w:tcPr>
          <w:p>
            <w:r>
              <w:rPr>
                <w:rFonts w:ascii="Calibri" w:hAnsi="Calibri"/>
                <w:sz w:val="22"/>
              </w:rPr>
              <w:t>+9.5%</w:t>
            </w:r>
          </w:p>
        </w:tc>
        <w:tc>
          <w:tcPr>
            <w:tcW w:type="dxa" w:w="1080"/>
          </w:tcPr>
          <w:p>
            <w:r>
              <w:rPr>
                <w:rFonts w:ascii="Calibri" w:hAnsi="Calibri"/>
                <w:sz w:val="22"/>
              </w:rPr>
              <w:t>14.7x</w:t>
            </w:r>
          </w:p>
        </w:tc>
        <w:tc>
          <w:tcPr>
            <w:tcW w:type="dxa" w:w="1080"/>
          </w:tcPr>
          <w:p>
            <w:r>
              <w:rPr>
                <w:rFonts w:ascii="Calibri" w:hAnsi="Calibri"/>
                <w:sz w:val="22"/>
              </w:rPr>
              <w:t>15.2x</w:t>
            </w:r>
          </w:p>
        </w:tc>
        <w:tc>
          <w:tcPr>
            <w:tcW w:type="dxa" w:w="1080"/>
          </w:tcPr>
          <w:p>
            <w:r>
              <w:rPr>
                <w:rFonts w:ascii="Calibri" w:hAnsi="Calibri"/>
                <w:sz w:val="22"/>
              </w:rPr>
              <w:t>+3.3%</w:t>
            </w:r>
          </w:p>
        </w:tc>
        <w:tc>
          <w:tcPr>
            <w:tcW w:type="dxa" w:w="1080"/>
          </w:tcPr>
          <w:p>
            <w:r>
              <w:rPr>
                <w:rFonts w:ascii="Calibri" w:hAnsi="Calibri"/>
                <w:sz w:val="22"/>
              </w:rPr>
              <w:t>24.6x</w:t>
            </w:r>
          </w:p>
        </w:tc>
        <w:tc>
          <w:tcPr>
            <w:tcW w:type="dxa" w:w="1080"/>
          </w:tcPr>
          <w:p>
            <w:r>
              <w:rPr>
                <w:rFonts w:ascii="Calibri" w:hAnsi="Calibri"/>
                <w:sz w:val="22"/>
              </w:rPr>
              <w:t>25.2x</w:t>
            </w:r>
          </w:p>
        </w:tc>
        <w:tc>
          <w:tcPr>
            <w:tcW w:type="dxa" w:w="1080"/>
          </w:tcPr>
          <w:p>
            <w:r>
              <w:rPr>
                <w:rFonts w:ascii="Calibri" w:hAnsi="Calibri"/>
                <w:sz w:val="22"/>
              </w:rPr>
              <w:t>+2.4%</w:t>
            </w:r>
          </w:p>
        </w:tc>
      </w:tr>
      <w:tr>
        <w:tc>
          <w:tcPr>
            <w:tcW w:type="dxa" w:w="1080"/>
          </w:tcPr>
          <w:p>
            <w:r>
              <w:rPr>
                <w:rFonts w:ascii="Calibri" w:hAnsi="Calibri"/>
                <w:sz w:val="22"/>
              </w:rPr>
              <w:t>6 Months</w:t>
            </w:r>
          </w:p>
        </w:tc>
        <w:tc>
          <w:tcPr>
            <w:tcW w:type="dxa" w:w="1080"/>
          </w:tcPr>
          <w:p>
            <w:r>
              <w:rPr>
                <w:rFonts w:ascii="Calibri" w:hAnsi="Calibri"/>
                <w:sz w:val="22"/>
              </w:rPr>
              <w:t>+18.0%</w:t>
            </w:r>
          </w:p>
        </w:tc>
        <w:tc>
          <w:tcPr>
            <w:tcW w:type="dxa" w:w="1080"/>
          </w:tcPr>
          <w:p>
            <w:r>
              <w:rPr>
                <w:rFonts w:ascii="Calibri" w:hAnsi="Calibri"/>
                <w:sz w:val="22"/>
              </w:rPr>
              <w:t>13.9x</w:t>
            </w:r>
          </w:p>
        </w:tc>
        <w:tc>
          <w:tcPr>
            <w:tcW w:type="dxa" w:w="1080"/>
          </w:tcPr>
          <w:p>
            <w:r>
              <w:rPr>
                <w:rFonts w:ascii="Calibri" w:hAnsi="Calibri"/>
                <w:sz w:val="22"/>
              </w:rPr>
              <w:t>15.2x</w:t>
            </w:r>
          </w:p>
        </w:tc>
        <w:tc>
          <w:tcPr>
            <w:tcW w:type="dxa" w:w="1080"/>
          </w:tcPr>
          <w:p>
            <w:r>
              <w:rPr>
                <w:rFonts w:ascii="Calibri" w:hAnsi="Calibri"/>
                <w:sz w:val="22"/>
              </w:rPr>
              <w:t>+9.3%</w:t>
            </w:r>
          </w:p>
        </w:tc>
        <w:tc>
          <w:tcPr>
            <w:tcW w:type="dxa" w:w="1080"/>
          </w:tcPr>
          <w:p>
            <w:r>
              <w:rPr>
                <w:rFonts w:ascii="Calibri" w:hAnsi="Calibri"/>
                <w:sz w:val="22"/>
              </w:rPr>
              <w:t>22.7x</w:t>
            </w:r>
          </w:p>
        </w:tc>
        <w:tc>
          <w:tcPr>
            <w:tcW w:type="dxa" w:w="1080"/>
          </w:tcPr>
          <w:p>
            <w:r>
              <w:rPr>
                <w:rFonts w:ascii="Calibri" w:hAnsi="Calibri"/>
                <w:sz w:val="22"/>
              </w:rPr>
              <w:t>25.2x</w:t>
            </w:r>
          </w:p>
        </w:tc>
        <w:tc>
          <w:tcPr>
            <w:tcW w:type="dxa" w:w="1080"/>
          </w:tcPr>
          <w:p>
            <w:r>
              <w:rPr>
                <w:rFonts w:ascii="Calibri" w:hAnsi="Calibri"/>
                <w:sz w:val="22"/>
              </w:rPr>
              <w:t>+10.8%</w:t>
            </w:r>
          </w:p>
        </w:tc>
      </w:tr>
      <w:tr>
        <w:tc>
          <w:tcPr>
            <w:tcW w:type="dxa" w:w="1080"/>
          </w:tcPr>
          <w:p>
            <w:r>
              <w:rPr>
                <w:rFonts w:ascii="Calibri" w:hAnsi="Calibri"/>
                <w:sz w:val="22"/>
              </w:rPr>
              <w:t>12 Months</w:t>
            </w:r>
          </w:p>
        </w:tc>
        <w:tc>
          <w:tcPr>
            <w:tcW w:type="dxa" w:w="1080"/>
          </w:tcPr>
          <w:p>
            <w:r>
              <w:rPr>
                <w:rFonts w:ascii="Calibri" w:hAnsi="Calibri"/>
                <w:sz w:val="22"/>
              </w:rPr>
              <w:t>+19.3%</w:t>
            </w:r>
          </w:p>
        </w:tc>
        <w:tc>
          <w:tcPr>
            <w:tcW w:type="dxa" w:w="1080"/>
          </w:tcPr>
          <w:p>
            <w:r>
              <w:rPr>
                <w:rFonts w:ascii="Calibri" w:hAnsi="Calibri"/>
                <w:sz w:val="22"/>
              </w:rPr>
              <w:t>13.1x</w:t>
            </w:r>
          </w:p>
        </w:tc>
        <w:tc>
          <w:tcPr>
            <w:tcW w:type="dxa" w:w="1080"/>
          </w:tcPr>
          <w:p>
            <w:r>
              <w:rPr>
                <w:rFonts w:ascii="Calibri" w:hAnsi="Calibri"/>
                <w:sz w:val="22"/>
              </w:rPr>
              <w:t>15.2x</w:t>
            </w:r>
          </w:p>
        </w:tc>
        <w:tc>
          <w:tcPr>
            <w:tcW w:type="dxa" w:w="1080"/>
          </w:tcPr>
          <w:p>
            <w:r>
              <w:rPr>
                <w:rFonts w:ascii="Calibri" w:hAnsi="Calibri"/>
                <w:sz w:val="22"/>
              </w:rPr>
              <w:t>+15.9%</w:t>
            </w:r>
          </w:p>
        </w:tc>
        <w:tc>
          <w:tcPr>
            <w:tcW w:type="dxa" w:w="1080"/>
          </w:tcPr>
          <w:p>
            <w:r>
              <w:rPr>
                <w:rFonts w:ascii="Calibri" w:hAnsi="Calibri"/>
                <w:sz w:val="22"/>
              </w:rPr>
              <w:t>20.5x</w:t>
            </w:r>
          </w:p>
        </w:tc>
        <w:tc>
          <w:tcPr>
            <w:tcW w:type="dxa" w:w="1080"/>
          </w:tcPr>
          <w:p>
            <w:r>
              <w:rPr>
                <w:rFonts w:ascii="Calibri" w:hAnsi="Calibri"/>
                <w:sz w:val="22"/>
              </w:rPr>
              <w:t>25.2x</w:t>
            </w:r>
          </w:p>
        </w:tc>
        <w:tc>
          <w:tcPr>
            <w:tcW w:type="dxa" w:w="1080"/>
          </w:tcPr>
          <w:p>
            <w:r>
              <w:rPr>
                <w:rFonts w:ascii="Calibri" w:hAnsi="Calibri"/>
                <w:sz w:val="22"/>
              </w:rPr>
              <w:t>+23.0%</w:t>
            </w:r>
          </w:p>
        </w:tc>
      </w:tr>
    </w:tbl>
    <w:p>
      <w:r>
        <w:rPr>
          <w:rFonts w:ascii="Calibri" w:hAnsi="Calibri"/>
          <w:i/>
          <w:color w:val="525866"/>
          <w:sz w:val="22"/>
        </w:rPr>
        <w:t>Source: Implied stock performance decomposition data. NTM = next twelve months consensus multiples. Current NTM EV/EBITDA: 15.2x; NTM P/E: 25.2x; NTM P/FCF: 37.1x.</w:t>
      </w:r>
    </w:p>
    <w:p>
      <w:r>
        <w:rPr>
          <w:rFonts w:ascii="Calibri" w:hAnsi="Calibri"/>
          <w:color w:val="525866"/>
          <w:sz w:val="22"/>
        </w:rPr>
        <w:t xml:space="preserve">The 12-month performance decomposition shows that </w:t>
      </w:r>
      <w:r>
        <w:rPr>
          <w:rFonts w:ascii="Calibri" w:hAnsi="Calibri"/>
          <w:b/>
          <w:color w:val="525866"/>
          <w:sz w:val="22"/>
        </w:rPr>
        <w:t>multiple expansion accounts for the majority of NSC's gains</w:t>
      </w:r>
      <w:r>
        <w:rPr>
          <w:rFonts w:ascii="Calibri" w:hAnsi="Calibri"/>
          <w:color w:val="525866"/>
          <w:sz w:val="22"/>
        </w:rPr>
        <w:t xml:space="preserve"> across all time horizons — the NTM P/E has expanded from ~20.5x to ~25.2x over 12 months (+23%), while EPS revisions have contributed a secondary tailwind. The 1-month rally of +8.8% (with ~7.2% from P/E expansion) reflects the market pricing in the intermodal recovery and peer read-throughs ahead of the print. At 25.2x NTM P/E and 15.2x NTM EV/EBITDA, NSC trades at a premium to its historical range, leaving the stock more vulnerable to a miss on OR or revenue than it would be at a lower multiple.</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CSX Q2 2026 blowout</w:t>
      </w:r>
      <w:r>
        <w:rPr>
          <w:rFonts w:ascii="Calibri" w:hAnsi="Calibri"/>
          <w:color w:val="525866"/>
          <w:sz w:val="22"/>
        </w:rPr>
        <w:t xml:space="preserve"> (reported July 22), which sets a high bar for the Eastern rail franchise and confirms the intermodal recovery thesis — a direct positive read-through for NSC heading into tomorrow's call.</w:t>
      </w:r>
    </w:p>
    <w:p>
      <w:pPr>
        <w:pStyle w:val="ListBullet"/>
        <w:ind w:left="360" w:hanging="360"/>
      </w:pPr>
      <w:r>
        <w:rPr>
          <w:rFonts w:ascii="Calibri" w:hAnsi="Calibri"/>
          <w:b/>
          <w:color w:val="525866"/>
          <w:sz w:val="22"/>
        </w:rPr>
        <w:t>July 22, 2026 — CSX Reports Record Q2 2026 Results:</w:t>
      </w:r>
      <w:r>
        <w:rPr>
          <w:rFonts w:ascii="Calibri" w:hAnsi="Calibri"/>
          <w:color w:val="525866"/>
          <w:sz w:val="22"/>
        </w:rPr>
        <w:t xml:space="preserve"> CSX reported revenue up 10% YoY to a new quarterly record, volume up 6%, operating income up 17%, and EPS growth of 23%, with operating margins expanding 240 bps despite 160 bps of fuel headwinds. Raised full-year guidance to mid-to-high single-digit revenue growth and &gt;350 bps of margin expansion. </w:t>
      </w:r>
      <w:r>
        <w:rPr>
          <w:rFonts w:ascii="Calibri" w:hAnsi="Calibri"/>
          <w:i/>
          <w:color w:val="525866"/>
          <w:sz w:val="22"/>
        </w:rPr>
        <w:t>Implication:</w:t>
      </w:r>
      <w:r>
        <w:rPr>
          <w:rFonts w:ascii="Calibri" w:hAnsi="Calibri"/>
          <w:i/>
          <w:color w:val="525866"/>
          <w:sz w:val="22"/>
        </w:rPr>
        <w:t xml:space="preserve"> Strongest possible read-through for NSC — confirms Eastern rail demand is robust, intermodal conversion is accelerating, and fuel surcharge is a tailwind. Sets a high bar but also validates the bull case.</w:t>
      </w:r>
    </w:p>
    <w:p>
      <w:pPr>
        <w:pStyle w:val="ListBullet"/>
        <w:ind w:left="360" w:hanging="360"/>
      </w:pPr>
      <w:r>
        <w:rPr>
          <w:rFonts w:ascii="Calibri" w:hAnsi="Calibri"/>
          <w:b/>
          <w:color w:val="525866"/>
          <w:sz w:val="22"/>
        </w:rPr>
        <w:t>July 22, 2026 — Wabtec (WAB) Reports Strong Q2:</w:t>
      </w:r>
      <w:r>
        <w:rPr>
          <w:rFonts w:ascii="Calibri" w:hAnsi="Calibri"/>
          <w:color w:val="525866"/>
          <w:sz w:val="22"/>
        </w:rPr>
        <w:t xml:space="preserve"> WAB reported Q2 EPS of $2.76 vs. $2.61 consensus, revenue up 17.5% to $3.18B vs. $3.07B estimate, and raised full-year guidance. </w:t>
      </w:r>
      <w:r>
        <w:rPr>
          <w:rFonts w:ascii="Calibri" w:hAnsi="Calibri"/>
          <w:i/>
          <w:color w:val="525866"/>
          <w:sz w:val="22"/>
        </w:rPr>
        <w:t>Implication:</w:t>
      </w:r>
      <w:r>
        <w:rPr>
          <w:rFonts w:ascii="Calibri" w:hAnsi="Calibri"/>
          <w:i/>
          <w:color w:val="525866"/>
          <w:sz w:val="22"/>
        </w:rPr>
        <w:t xml:space="preserve"> Positive for rail equipment demand and locomotive fleet health; supports NSC's ongoing DC-to-AC locomotive conversion program.</w:t>
      </w:r>
    </w:p>
    <w:p>
      <w:pPr>
        <w:pStyle w:val="ListBullet"/>
        <w:ind w:left="360" w:hanging="360"/>
      </w:pPr>
      <w:r>
        <w:rPr>
          <w:rFonts w:ascii="Calibri" w:hAnsi="Calibri"/>
          <w:b/>
          <w:color w:val="525866"/>
          <w:sz w:val="22"/>
        </w:rPr>
        <w:t>July 15, 2026 — JBHT Reports Record Intermodal Quarter:</w:t>
      </w:r>
      <w:r>
        <w:rPr>
          <w:rFonts w:ascii="Calibri" w:hAnsi="Calibri"/>
          <w:color w:val="525866"/>
          <w:sz w:val="22"/>
        </w:rPr>
        <w:t xml:space="preserve"> J.B. Hunt posted Q2 EPS of $1.91 vs. $1.74 consensus, with intermodal volume up 10% (first double-digit growth in over a decade) and Eastern network loads up 16%. Truck-to-rail conversion described as accelerating at levels not seen since 2021–22. </w:t>
      </w:r>
      <w:r>
        <w:rPr>
          <w:rFonts w:ascii="Calibri" w:hAnsi="Calibri"/>
          <w:i/>
          <w:color w:val="525866"/>
          <w:sz w:val="22"/>
        </w:rPr>
        <w:t>Implication:</w:t>
      </w:r>
      <w:r>
        <w:rPr>
          <w:rFonts w:ascii="Calibri" w:hAnsi="Calibri"/>
          <w:i/>
          <w:color w:val="525866"/>
          <w:sz w:val="22"/>
        </w:rPr>
        <w:t xml:space="preserve"> Direct positive read-through for NSC's intermodal franchise; confirms management's Q1 call thesis on domestic non-premium intermodal tailwinds from fuel prices and tightening truck capacity.</w:t>
      </w:r>
    </w:p>
    <w:p>
      <w:pPr>
        <w:pStyle w:val="ListBullet"/>
        <w:ind w:left="360" w:hanging="360"/>
      </w:pPr>
      <w:r>
        <w:rPr>
          <w:rFonts w:ascii="Calibri" w:hAnsi="Calibri"/>
          <w:b/>
          <w:color w:val="525866"/>
          <w:sz w:val="22"/>
        </w:rPr>
        <w:t>April 30, 2026 — NSC Refiles Merger Application with STB:</w:t>
      </w:r>
      <w:r>
        <w:rPr>
          <w:rFonts w:ascii="Calibri" w:hAnsi="Calibri"/>
          <w:color w:val="525866"/>
          <w:sz w:val="22"/>
        </w:rPr>
        <w:t xml:space="preserve"> Revised application filed using 100% traffic data (vs. sample data in original), resulting in modestly lower merchandise conversion but higher intermodal conversion; net revenue synergy target modestly lower; CapEx needs modestly lower. STB completeness decision deadline was May 29; final merger decision now expected summer 2027. </w:t>
      </w:r>
      <w:r>
        <w:rPr>
          <w:rFonts w:ascii="Calibri" w:hAnsi="Calibri"/>
          <w:i/>
          <w:color w:val="525866"/>
          <w:sz w:val="22"/>
        </w:rPr>
        <w:t>Implication:</w:t>
      </w:r>
      <w:r>
        <w:rPr>
          <w:rFonts w:ascii="Calibri" w:hAnsi="Calibri"/>
          <w:i/>
          <w:color w:val="525866"/>
          <w:sz w:val="22"/>
        </w:rPr>
        <w:t xml:space="preserve"> Removes near-term procedural uncertainty; management expressed notably higher confidence in approval prospects. Merger optionality remains a key valuation support.</w:t>
      </w:r>
    </w:p>
    <w:p>
      <w:pPr>
        <w:pStyle w:val="ListBullet"/>
        <w:ind w:left="360" w:hanging="360"/>
      </w:pPr>
      <w:r>
        <w:rPr>
          <w:rFonts w:ascii="Calibri" w:hAnsi="Calibri"/>
          <w:b/>
          <w:color w:val="525866"/>
          <w:sz w:val="22"/>
        </w:rPr>
        <w:t>April 1, 2026 — Jaguar Transport Holdings Short Line Partnership:</w:t>
      </w:r>
      <w:r>
        <w:rPr>
          <w:rFonts w:ascii="Calibri" w:hAnsi="Calibri"/>
          <w:color w:val="525866"/>
          <w:sz w:val="22"/>
        </w:rPr>
        <w:t xml:space="preserve"> NSC announced an innovative short line and transload partnership with Jaguar Transport Holdings in Doraville, Georgia — focused on growth in a high-density switching corridor rather than the traditional efficiency-driven low-density model. Jaguar is also a Union Pacific short line partner, supporting eventual transcontinental network alignment. </w:t>
      </w:r>
      <w:r>
        <w:rPr>
          <w:rFonts w:ascii="Calibri" w:hAnsi="Calibri"/>
          <w:i/>
          <w:color w:val="525866"/>
          <w:sz w:val="22"/>
        </w:rPr>
        <w:t>Implication:</w:t>
      </w:r>
      <w:r>
        <w:rPr>
          <w:rFonts w:ascii="Calibri" w:hAnsi="Calibri"/>
          <w:i/>
          <w:color w:val="525866"/>
          <w:sz w:val="22"/>
        </w:rPr>
        <w:t xml:space="preserve"> Signals evolving commercial strategy to extend network reach; management intends to replicate in other markets.</w:t>
      </w:r>
    </w:p>
    <w:p>
      <w:pPr>
        <w:pStyle w:val="ListBullet"/>
        <w:ind w:left="360" w:hanging="360"/>
      </w:pPr>
      <w:r>
        <w:rPr>
          <w:rFonts w:ascii="Calibri" w:hAnsi="Calibri"/>
          <w:b/>
          <w:color w:val="525866"/>
          <w:sz w:val="22"/>
        </w:rPr>
        <w:t>Ongoing — Iran Conflict / Elevated Fuel Prices:</w:t>
      </w:r>
      <w:r>
        <w:rPr>
          <w:rFonts w:ascii="Calibri" w:hAnsi="Calibri"/>
          <w:color w:val="525866"/>
          <w:sz w:val="22"/>
        </w:rPr>
        <w:t xml:space="preserve"> Diesel prices surged ~45% YoY in March 2026 and remained elevated into Q2. NSC's fuel surcharge lag structure (~2-week lag for intermodal, ~2-month lag for merchandise/coal) means Q2 will see a net fuel headwind, though the intermodal surcharge recovery is faster. </w:t>
      </w:r>
      <w:r>
        <w:rPr>
          <w:rFonts w:ascii="Calibri" w:hAnsi="Calibri"/>
          <w:i/>
          <w:color w:val="525866"/>
          <w:sz w:val="22"/>
        </w:rPr>
        <w:t>Implication:</w:t>
      </w:r>
      <w:r>
        <w:rPr>
          <w:rFonts w:ascii="Calibri" w:hAnsi="Calibri"/>
          <w:i/>
          <w:color w:val="525866"/>
          <w:sz w:val="22"/>
        </w:rPr>
        <w:t xml:space="preserve"> Primary wildcard for Q2 OR; management guided for fuel to be a headwind in Q2 but expects a tailwind in Q3/Q4 as the forward curve rolls.</w:t>
      </w:r>
    </w:p>
    <w:p>
      <w:pPr>
        <w:pStyle w:val="ListBullet"/>
        <w:ind w:left="360" w:hanging="360"/>
      </w:pPr>
      <w:r>
        <w:rPr>
          <w:rFonts w:ascii="Calibri" w:hAnsi="Calibri"/>
          <w:b/>
          <w:color w:val="525866"/>
          <w:sz w:val="22"/>
        </w:rPr>
        <w:t>Ongoing — Tariff/Trade Policy Uncertainty:</w:t>
      </w:r>
      <w:r>
        <w:rPr>
          <w:rFonts w:ascii="Calibri" w:hAnsi="Calibri"/>
          <w:color w:val="525866"/>
          <w:sz w:val="22"/>
        </w:rPr>
        <w:t xml:space="preserve"> Trump administration announced 50% tariffs on Canada (July 20), ongoing USMCA renegotiation pressure, and tariffs on Brazil (July 15). International intermodal volumes remain soft due to tariff volatility. </w:t>
      </w:r>
      <w:r>
        <w:rPr>
          <w:rFonts w:ascii="Calibri" w:hAnsi="Calibri"/>
          <w:i/>
          <w:color w:val="525866"/>
          <w:sz w:val="22"/>
        </w:rPr>
        <w:t>Implication:</w:t>
      </w:r>
      <w:r>
        <w:rPr>
          <w:rFonts w:ascii="Calibri" w:hAnsi="Calibri"/>
          <w:i/>
          <w:color w:val="525866"/>
          <w:sz w:val="22"/>
        </w:rPr>
        <w:t xml:space="preserve"> Headwind for international intermodal; partially offset by domestic non-premium strength and potential export coal/NGL/plastics upside from supply chain disruptions.</w:t>
      </w:r>
    </w:p>
    <w:p>
      <w:pPr>
        <w:pStyle w:val="ListBullet"/>
        <w:ind w:left="360" w:hanging="360"/>
      </w:pPr>
      <w:r>
        <w:rPr>
          <w:rFonts w:ascii="Calibri" w:hAnsi="Calibri"/>
          <w:b/>
          <w:color w:val="525866"/>
          <w:sz w:val="22"/>
        </w:rPr>
        <w:t>July 16, 2026 — United Airlines Q2 Beat Despite $6B Fuel Headwind:</w:t>
      </w:r>
      <w:r>
        <w:rPr>
          <w:rFonts w:ascii="Calibri" w:hAnsi="Calibri"/>
          <w:color w:val="525866"/>
          <w:sz w:val="22"/>
        </w:rPr>
        <w:t xml:space="preserve"> UAL raised full-year EPS guidance to ~$10 midpoint despite record fuel costs, citing strong demand. </w:t>
      </w:r>
      <w:r>
        <w:rPr>
          <w:rFonts w:ascii="Calibri" w:hAnsi="Calibri"/>
          <w:i/>
          <w:color w:val="525866"/>
          <w:sz w:val="22"/>
        </w:rPr>
        <w:t>Implication:</w:t>
      </w:r>
      <w:r>
        <w:rPr>
          <w:rFonts w:ascii="Calibri" w:hAnsi="Calibri"/>
          <w:i/>
          <w:color w:val="525866"/>
          <w:sz w:val="22"/>
        </w:rPr>
        <w:t xml:space="preserve"> Confirms consumer/corporate demand resilience; supports NSC's merchandise and intermodal volume outlook.</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No open-market insider buys or discretionary sells were identified for NSC in the 60-day window since the Q1 2026 earnings call. The absence of insider activity is neutral — no clustered buys to signal conviction, but also no unusual discretionary selling ahead of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reportable open-market transactions identified in the Apr 24 – Jul 22, 2026 window</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SEC Form 4 search returned no open-market buys (code P) or discretionary sells (code S) for NSC in this period</w:t>
            </w:r>
          </w:p>
        </w:tc>
      </w:tr>
    </w:tbl>
    <w:p>
      <w:r>
        <w:rPr>
          <w:rFonts w:ascii="Calibri" w:hAnsi="Calibri"/>
          <w:i/>
          <w:color w:val="525866"/>
          <w:sz w:val="22"/>
        </w:rPr>
        <w:t>Source: SEC EDGAR Form 4 filings search, April 24 – July 22, 2026. Only open-market buys (code P) and open-market sells (code S) are included. Routine 10b5-1 plan sales and tax withholding transactions are excluded from the above. The SEC search returned 14 Form 4 filings for NSC in this period, all of which appear to be routine plan-based transactions rather than discretionary open-market activity.</w:t>
      </w:r>
    </w:p>
    <w:p>
      <w:r>
        <w:br w:type="page"/>
      </w:r>
    </w:p>
    <w:p>
      <w:pPr>
        <w:pStyle w:val="Heading1"/>
        <w:pBdr>
          <w:bottom w:val="single" w:sz="4" w:space="1" w:color="FB9120"/>
        </w:pBdr>
      </w:pPr>
      <w:r>
        <w:rPr>
          <w:rFonts w:ascii="Calibri" w:hAnsi="Calibri"/>
          <w:b/>
          <w:color w:val="3B4259"/>
          <w:sz w:val="40"/>
        </w:rPr>
        <w:t>8. Peer Commentary: Current-Quarter Read-Through</w:t>
      </w:r>
    </w:p>
    <w:p>
      <w:r>
        <w:rPr>
          <w:rFonts w:ascii="Calibri" w:hAnsi="Calibri"/>
          <w:b/>
          <w:color w:val="525866"/>
          <w:sz w:val="22"/>
        </w:rPr>
        <w:t xml:space="preserve">Key Takeaway: </w:t>
      </w:r>
      <w:r>
        <w:rPr>
          <w:rFonts w:ascii="Calibri" w:hAnsi="Calibri"/>
          <w:color w:val="525866"/>
          <w:sz w:val="22"/>
        </w:rPr>
        <w:t xml:space="preserve">Peer commentary from the current Q2 2026 reporting period is </w:t>
      </w:r>
      <w:r>
        <w:rPr>
          <w:rFonts w:ascii="Calibri" w:hAnsi="Calibri"/>
          <w:b/>
          <w:color w:val="525866"/>
          <w:sz w:val="22"/>
        </w:rPr>
        <w:t>uniformly constructive</w:t>
      </w:r>
      <w:r>
        <w:rPr>
          <w:rFonts w:ascii="Calibri" w:hAnsi="Calibri"/>
          <w:color w:val="525866"/>
          <w:sz w:val="22"/>
        </w:rPr>
        <w:t xml:space="preserve"> for NSC — CSX's record quarter confirms Eastern rail demand, JBHT's record intermodal volumes validate the truck-to-rail conversion thesis, and both peers point to fuel surcharge as a meaningful revenue tailwind. The primary risk is that NSC's longer fuel surcharge lag on merchandise/coal means it captures less of the Q2 fuel surcharge benefit than CSX.</w:t>
      </w:r>
    </w:p>
    <w:p>
      <w:r>
        <w:rPr>
          <w:rFonts w:ascii="Calibri" w:hAnsi="Calibri"/>
          <w:b/>
          <w:i/>
          <w:color w:val="525866"/>
          <w:sz w:val="22"/>
        </w:rPr>
        <w:t>Note on Scope:</w:t>
      </w:r>
      <w:r>
        <w:rPr>
          <w:rFonts w:ascii="Calibri" w:hAnsi="Calibri"/>
          <w:i/>
          <w:color w:val="525866"/>
          <w:sz w:val="22"/>
        </w:rPr>
        <w:t xml:space="preserve"> Only commentary from the Q2 2026 reporting period (April 24 – July 22, 2026) is included below. Prior-quarter earnings commentary (e.g., Q1 2026 results reported by peers in April) is excluded unless it contains explicit forward-looking statements about Q2 2026 conditions. All commentary below was made after NSC's last earnings call on April 24, 2026.</w:t>
      </w:r>
    </w:p>
    <w:p>
      <w:pPr>
        <w:pStyle w:val="Heading2"/>
      </w:pPr>
      <w:r>
        <w:rPr>
          <w:rFonts w:ascii="Calibri" w:hAnsi="Calibri"/>
          <w:b/>
          <w:color w:val="3B4259"/>
          <w:sz w:val="28"/>
        </w:rPr>
        <w:t>8A. CSX Corporation (CSX) — Direct Class I Rail Peer | Q2 2026 Earnings (Reported July 22, 2026)</w:t>
      </w:r>
    </w:p>
    <w:p>
      <w:r>
        <w:rPr>
          <w:rFonts w:ascii="Calibri" w:hAnsi="Calibri"/>
          <w:color w:val="525866"/>
          <w:sz w:val="22"/>
        </w:rPr>
        <w:t>CSX is NSC's most direct Eastern rail competitor and the highest-signal read-through for Q2 2026 conditions. CSX reported Q2 2026 results on the same day as this preview (July 22, 2026), making it the most timely and relevant data point available.</w:t>
      </w:r>
    </w:p>
    <w:p>
      <w:pPr>
        <w:pStyle w:val="Heading3"/>
      </w:pPr>
      <w:r>
        <w:rPr>
          <w:rFonts w:ascii="Calibri" w:hAnsi="Calibri"/>
          <w:b/>
          <w:color w:val="3B4259"/>
          <w:sz w:val="24"/>
        </w:rPr>
        <w:t>Volume &amp; Revenue</w:t>
      </w:r>
    </w:p>
    <w:p>
      <w:pPr>
        <w:pStyle w:val="ListBullet"/>
        <w:ind w:left="360" w:hanging="360"/>
      </w:pPr>
      <w:r>
        <w:rPr>
          <w:rFonts w:ascii="Calibri" w:hAnsi="Calibri"/>
          <w:b/>
          <w:color w:val="525866"/>
          <w:sz w:val="22"/>
        </w:rPr>
        <w:t>Total volume up 6% YoY</w:t>
      </w:r>
      <w:r>
        <w:rPr>
          <w:rFonts w:ascii="Calibri" w:hAnsi="Calibri"/>
          <w:color w:val="525866"/>
          <w:sz w:val="22"/>
        </w:rPr>
        <w:t xml:space="preserve">; revenue up 10% to a new quarterly record. Broad-based growth across merchandise, intermodal, and coal. </w:t>
      </w:r>
      <w:r>
        <w:rPr>
          <w:rFonts w:ascii="Calibri" w:hAnsi="Calibri"/>
          <w:i/>
          <w:color w:val="525866"/>
          <w:sz w:val="22"/>
        </w:rPr>
        <w:t>NSC read-through:</w:t>
      </w:r>
      <w:r>
        <w:rPr>
          <w:rFonts w:ascii="Calibri" w:hAnsi="Calibri"/>
          <w:i/>
          <w:color w:val="525866"/>
          <w:sz w:val="22"/>
        </w:rPr>
        <w:t xml:space="preserve"> Confirms Eastern rail demand is robust heading into Q2; NSC consensus of +7.8% revenue growth is achievable.</w:t>
      </w:r>
    </w:p>
    <w:p>
      <w:pPr>
        <w:pStyle w:val="ListBullet"/>
        <w:ind w:left="360" w:hanging="360"/>
      </w:pPr>
      <w:r>
        <w:rPr>
          <w:rFonts w:ascii="Calibri" w:hAnsi="Calibri"/>
          <w:b/>
          <w:color w:val="525866"/>
          <w:sz w:val="22"/>
        </w:rPr>
        <w:t>Intermodal volume up 9%</w:t>
      </w:r>
      <w:r>
        <w:rPr>
          <w:rFonts w:ascii="Calibri" w:hAnsi="Calibri"/>
          <w:color w:val="525866"/>
          <w:sz w:val="22"/>
        </w:rPr>
        <w:t xml:space="preserve">, with revenue up 26% driven by fuel surcharge and volume. Domestic intermodal described as the largest contributor to unit growth, with truck-to-rail conversions accelerating due to tighter truck supply and higher fuel costs. Howard Street Tunnel and CPKC SMS partnership adding ~2 points to domestic intermodal growth in recent weeks. </w:t>
      </w:r>
      <w:r>
        <w:rPr>
          <w:rFonts w:ascii="Calibri" w:hAnsi="Calibri"/>
          <w:i/>
          <w:color w:val="525866"/>
          <w:sz w:val="22"/>
        </w:rPr>
        <w:t>NSC read-through:</w:t>
      </w:r>
      <w:r>
        <w:rPr>
          <w:rFonts w:ascii="Calibri" w:hAnsi="Calibri"/>
          <w:i/>
          <w:color w:val="525866"/>
          <w:sz w:val="22"/>
        </w:rPr>
        <w:t xml:space="preserve"> Directly validates NSC management's Q1 call thesis on domestic non-premium intermodal tailwinds. NSC consensus of +4.8% intermodal carload growth appears conservative relative to CSX's 9%.</w:t>
      </w:r>
    </w:p>
    <w:p>
      <w:pPr>
        <w:pStyle w:val="ListBullet"/>
        <w:ind w:left="360" w:hanging="360"/>
      </w:pPr>
      <w:r>
        <w:rPr>
          <w:rFonts w:ascii="Calibri" w:hAnsi="Calibri"/>
          <w:b/>
          <w:color w:val="525866"/>
          <w:sz w:val="22"/>
        </w:rPr>
        <w:t>Merchandise volume up 4%</w:t>
      </w:r>
      <w:r>
        <w:rPr>
          <w:rFonts w:ascii="Calibri" w:hAnsi="Calibri"/>
          <w:color w:val="525866"/>
          <w:sz w:val="22"/>
        </w:rPr>
        <w:t xml:space="preserve">, revenue up 8%. Six of seven business units growing or flat. Chemicals up 8% (plastics exports, waste by rail); Metals &amp; Equipment up 14% revenue on 3% volume (military, data center demand); Forest Products flat YoY (significant improvement from Q1) on truck-to-rail conversions. </w:t>
      </w:r>
      <w:r>
        <w:rPr>
          <w:rFonts w:ascii="Calibri" w:hAnsi="Calibri"/>
          <w:i/>
          <w:color w:val="525866"/>
          <w:sz w:val="22"/>
        </w:rPr>
        <w:t>NSC read-through:</w:t>
      </w:r>
      <w:r>
        <w:rPr>
          <w:rFonts w:ascii="Calibri" w:hAnsi="Calibri"/>
          <w:i/>
          <w:color w:val="525866"/>
          <w:sz w:val="22"/>
        </w:rPr>
        <w:t xml:space="preserve"> Positive for NSC's chemicals and metals franchises; forest products conversion tailwind is directly applicable.</w:t>
      </w:r>
    </w:p>
    <w:p>
      <w:pPr>
        <w:pStyle w:val="ListBullet"/>
        <w:ind w:left="360" w:hanging="360"/>
      </w:pPr>
      <w:r>
        <w:rPr>
          <w:rFonts w:ascii="Calibri" w:hAnsi="Calibri"/>
          <w:b/>
          <w:color w:val="525866"/>
          <w:sz w:val="22"/>
        </w:rPr>
        <w:t>Coal revenue up 9% on 4% higher volume</w:t>
      </w:r>
      <w:r>
        <w:rPr>
          <w:rFonts w:ascii="Calibri" w:hAnsi="Calibri"/>
          <w:color w:val="525866"/>
          <w:sz w:val="22"/>
        </w:rPr>
        <w:t xml:space="preserve">. Export tonnage up 12% (mine restarts, record Curtis Bay throughput). Domestic tonnage down 2% on lower natural gas prices and normalized inventories. Coal RPU up 4% on strong domestic contract renewals. </w:t>
      </w:r>
      <w:r>
        <w:rPr>
          <w:rFonts w:ascii="Calibri" w:hAnsi="Calibri"/>
          <w:i/>
          <w:color w:val="525866"/>
          <w:sz w:val="22"/>
        </w:rPr>
        <w:t>NSC read-through:</w:t>
      </w:r>
      <w:r>
        <w:rPr>
          <w:rFonts w:ascii="Calibri" w:hAnsi="Calibri"/>
          <w:i/>
          <w:color w:val="525866"/>
          <w:sz w:val="22"/>
        </w:rPr>
        <w:t xml:space="preserve"> Export coal strength is a positive signal for NSC's export franchise; domestic utility coal dynamics are similar.</w:t>
      </w:r>
    </w:p>
    <w:p>
      <w:pPr>
        <w:pStyle w:val="Heading3"/>
      </w:pPr>
      <w:r>
        <w:rPr>
          <w:rFonts w:ascii="Calibri" w:hAnsi="Calibri"/>
          <w:b/>
          <w:color w:val="3B4259"/>
          <w:sz w:val="24"/>
        </w:rPr>
        <w:t>Margins &amp; Costs</w:t>
      </w:r>
    </w:p>
    <w:p>
      <w:pPr>
        <w:pStyle w:val="ListBullet"/>
        <w:ind w:left="360" w:hanging="360"/>
      </w:pPr>
      <w:r>
        <w:rPr>
          <w:rFonts w:ascii="Calibri" w:hAnsi="Calibri"/>
          <w:b/>
          <w:color w:val="525866"/>
          <w:sz w:val="22"/>
        </w:rPr>
        <w:t>Operating margins expanded 240 bps despite 160 bps of fuel price headwinds</w:t>
      </w:r>
      <w:r>
        <w:rPr>
          <w:rFonts w:ascii="Calibri" w:hAnsi="Calibri"/>
          <w:color w:val="525866"/>
          <w:sz w:val="22"/>
        </w:rPr>
        <w:t xml:space="preserve">. Non-fuel expenses down 2%. Labor costs up $40M but offset by 6% lower headcount. Intermodal terminal costs per lift down 12%. </w:t>
      </w:r>
      <w:r>
        <w:rPr>
          <w:rFonts w:ascii="Calibri" w:hAnsi="Calibri"/>
          <w:i/>
          <w:color w:val="525866"/>
          <w:sz w:val="22"/>
        </w:rPr>
        <w:t>NSC read-through:</w:t>
      </w:r>
      <w:r>
        <w:rPr>
          <w:rFonts w:ascii="Calibri" w:hAnsi="Calibri"/>
          <w:i/>
          <w:color w:val="525866"/>
          <w:sz w:val="22"/>
        </w:rPr>
        <w:t xml:space="preserve"> Demonstrates that Eastern rail can expand margins even with elevated fuel; NSC's guided ~200 bps of sequential OR improvement is credible.</w:t>
      </w:r>
    </w:p>
    <w:p>
      <w:pPr>
        <w:pStyle w:val="ListBullet"/>
        <w:ind w:left="360" w:hanging="360"/>
      </w:pPr>
      <w:r>
        <w:rPr>
          <w:rFonts w:ascii="Calibri" w:hAnsi="Calibri"/>
          <w:b/>
          <w:color w:val="525866"/>
          <w:sz w:val="22"/>
        </w:rPr>
        <w:t>Fuel lag expected to dissipate in Q3</w:t>
      </w:r>
      <w:r>
        <w:rPr>
          <w:rFonts w:ascii="Calibri" w:hAnsi="Calibri"/>
          <w:color w:val="525866"/>
          <w:sz w:val="22"/>
        </w:rPr>
        <w:t xml:space="preserve">: CFO Kevin Boone noted the fuel lag experienced in Q2 “should go away” in Q3, providing a margin tailwind. </w:t>
      </w:r>
      <w:r>
        <w:rPr>
          <w:rFonts w:ascii="Calibri" w:hAnsi="Calibri"/>
          <w:i/>
          <w:color w:val="525866"/>
          <w:sz w:val="22"/>
        </w:rPr>
        <w:t>NSC read-through:</w:t>
      </w:r>
      <w:r>
        <w:rPr>
          <w:rFonts w:ascii="Calibri" w:hAnsi="Calibri"/>
          <w:i/>
          <w:color w:val="525866"/>
          <w:sz w:val="22"/>
        </w:rPr>
        <w:t xml:space="preserve"> NSC faces a longer ~2-month lag on merchandise/coal vs. CSX's structure; the Q2 fuel headwind may be more pronounced for NSC, but Q3 should see a similar reversal.</w:t>
      </w:r>
    </w:p>
    <w:p>
      <w:pPr>
        <w:pStyle w:val="Heading3"/>
      </w:pPr>
      <w:r>
        <w:rPr>
          <w:rFonts w:ascii="Calibri" w:hAnsi="Calibri"/>
          <w:b/>
          <w:color w:val="3B4259"/>
          <w:sz w:val="24"/>
        </w:rPr>
        <w:t>Guidance &amp; Outlook</w:t>
      </w:r>
    </w:p>
    <w:p>
      <w:pPr>
        <w:pStyle w:val="ListBullet"/>
        <w:ind w:left="360" w:hanging="360"/>
      </w:pPr>
      <w:r>
        <w:rPr>
          <w:rFonts w:ascii="Calibri" w:hAnsi="Calibri"/>
          <w:b/>
          <w:color w:val="525866"/>
          <w:sz w:val="22"/>
        </w:rPr>
        <w:t>CSX raised full-year 2026 guidance</w:t>
      </w:r>
      <w:r>
        <w:rPr>
          <w:rFonts w:ascii="Calibri" w:hAnsi="Calibri"/>
          <w:color w:val="525866"/>
          <w:sz w:val="22"/>
        </w:rPr>
        <w:t xml:space="preserve"> to mid-to-high single-digit revenue growth, &gt;350 bps of operating margin expansion, and &gt;80% free cash flow growth. CapEx unchanged at &lt;$2.4B. </w:t>
      </w:r>
      <w:r>
        <w:rPr>
          <w:rFonts w:ascii="Calibri" w:hAnsi="Calibri"/>
          <w:i/>
          <w:color w:val="525866"/>
          <w:sz w:val="22"/>
        </w:rPr>
        <w:t>NSC read-through:</w:t>
      </w:r>
      <w:r>
        <w:rPr>
          <w:rFonts w:ascii="Calibri" w:hAnsi="Calibri"/>
          <w:i/>
          <w:color w:val="525866"/>
          <w:sz w:val="22"/>
        </w:rPr>
        <w:t xml:space="preserve"> The magnitude of CSX's guidance raise suggests the Eastern rail environment is materially better than feared; NSC's maintained cost guidance and qualitative revenue optimism may prove conservative.</w:t>
      </w:r>
    </w:p>
    <w:p>
      <w:pPr>
        <w:pStyle w:val="ListBullet"/>
        <w:ind w:left="360" w:hanging="360"/>
      </w:pPr>
      <w:r>
        <w:rPr>
          <w:rFonts w:ascii="Calibri" w:hAnsi="Calibri"/>
          <w:b/>
          <w:color w:val="525866"/>
          <w:sz w:val="22"/>
        </w:rPr>
        <w:t>Pricing: Core pricing at or above plan</w:t>
      </w:r>
      <w:r>
        <w:rPr>
          <w:rFonts w:ascii="Calibri" w:hAnsi="Calibri"/>
          <w:color w:val="525866"/>
          <w:sz w:val="22"/>
        </w:rPr>
        <w:t xml:space="preserve">; same-store sales pricing expected stronger than 2025. Intermodal spot pricing accelerating; contract renewals repricing higher. Fuel and mix expected to be primary RPU drivers in H2. </w:t>
      </w:r>
      <w:r>
        <w:rPr>
          <w:rFonts w:ascii="Calibri" w:hAnsi="Calibri"/>
          <w:i/>
          <w:color w:val="525866"/>
          <w:sz w:val="22"/>
        </w:rPr>
        <w:t>NSC read-through:</w:t>
      </w:r>
      <w:r>
        <w:rPr>
          <w:rFonts w:ascii="Calibri" w:hAnsi="Calibri"/>
          <w:i/>
          <w:color w:val="525866"/>
          <w:sz w:val="22"/>
        </w:rPr>
        <w:t xml:space="preserve"> Consistent with NSC management's Q1 commentary on improving pricing across all three segments.</w:t>
      </w:r>
    </w:p>
    <w:p>
      <w:pPr>
        <w:pStyle w:val="ListBullet"/>
        <w:ind w:left="360" w:hanging="360"/>
      </w:pPr>
      <w:r>
        <w:rPr>
          <w:rFonts w:ascii="Calibri" w:hAnsi="Calibri"/>
          <w:b/>
          <w:color w:val="525866"/>
          <w:sz w:val="22"/>
        </w:rPr>
        <w:t>Automotive caution:</w:t>
      </w:r>
      <w:r>
        <w:rPr>
          <w:rFonts w:ascii="Calibri" w:hAnsi="Calibri"/>
          <w:color w:val="525866"/>
          <w:sz w:val="22"/>
        </w:rPr>
        <w:t xml:space="preserve"> CSX flagged potential momentum slowdown in automotive due to normalized inventories and summer shutdowns ahead of Q4 model launches. North American light vehicle production still expected down ~2% for the year. </w:t>
      </w:r>
      <w:r>
        <w:rPr>
          <w:rFonts w:ascii="Calibri" w:hAnsi="Calibri"/>
          <w:i/>
          <w:color w:val="525866"/>
          <w:sz w:val="22"/>
        </w:rPr>
        <w:t>NSC read-through:</w:t>
      </w:r>
      <w:r>
        <w:rPr>
          <w:rFonts w:ascii="Calibri" w:hAnsi="Calibri"/>
          <w:i/>
          <w:color w:val="525866"/>
          <w:sz w:val="22"/>
        </w:rPr>
        <w:t xml:space="preserve"> Mild negative for NSC's automotive franchise; management had already flagged a “subdued but positive” vehicle production outlook.</w:t>
      </w:r>
    </w:p>
    <w:p>
      <w:pPr>
        <w:pStyle w:val="ListBullet"/>
        <w:ind w:left="360" w:hanging="360"/>
      </w:pPr>
      <w:r>
        <w:rPr>
          <w:rFonts w:ascii="Calibri" w:hAnsi="Calibri"/>
          <w:b/>
          <w:color w:val="525866"/>
          <w:sz w:val="22"/>
        </w:rPr>
        <w:t>Plastics moderation in H2:</w:t>
      </w:r>
      <w:r>
        <w:rPr>
          <w:rFonts w:ascii="Calibri" w:hAnsi="Calibri"/>
          <w:color w:val="525866"/>
          <w:sz w:val="22"/>
        </w:rPr>
        <w:t xml:space="preserve"> CSX expects plastics volumes to moderate following pull-forward activity in H1. </w:t>
      </w:r>
      <w:r>
        <w:rPr>
          <w:rFonts w:ascii="Calibri" w:hAnsi="Calibri"/>
          <w:i/>
          <w:color w:val="525866"/>
          <w:sz w:val="22"/>
        </w:rPr>
        <w:t>NSC read-through:</w:t>
      </w:r>
      <w:r>
        <w:rPr>
          <w:rFonts w:ascii="Calibri" w:hAnsi="Calibri"/>
          <w:i/>
          <w:color w:val="525866"/>
          <w:sz w:val="22"/>
        </w:rPr>
        <w:t xml:space="preserve"> Potential headwind for NSC's chemicals franchise in H2, though Q2 should still benefit from the pull-forward.</w:t>
      </w:r>
    </w:p>
    <w:p>
      <w:pPr>
        <w:pStyle w:val="Heading2"/>
      </w:pPr>
      <w:r>
        <w:rPr>
          <w:rFonts w:ascii="Calibri" w:hAnsi="Calibri"/>
          <w:b/>
          <w:color w:val="3B4259"/>
          <w:sz w:val="28"/>
        </w:rPr>
        <w:t>8B. J.B. Hunt Transport Services (JBHT) — Intermodal Ecosystem Read-Through | Q2 2026 Earnings (Reported July 15, 2026)</w:t>
      </w:r>
    </w:p>
    <w:p>
      <w:r>
        <w:rPr>
          <w:rFonts w:ascii="Calibri" w:hAnsi="Calibri"/>
          <w:color w:val="525866"/>
          <w:sz w:val="22"/>
        </w:rPr>
        <w:t>JBHT is the largest intermodal marketing company (IMC) in the U.S. and a key commercial partner of NSC. JBHT's Q2 2026 results are the most important intermodal ecosystem read-through for NSC, as JBHT's Eastern network volumes move directly on NSC's rails. JBHT reported Q2 2026 results on July 15, 2026 — one week before NSC's print.</w:t>
      </w:r>
    </w:p>
    <w:p>
      <w:pPr>
        <w:pStyle w:val="Heading3"/>
      </w:pPr>
      <w:r>
        <w:rPr>
          <w:rFonts w:ascii="Calibri" w:hAnsi="Calibri"/>
          <w:b/>
          <w:color w:val="3B4259"/>
          <w:sz w:val="24"/>
        </w:rPr>
        <w:t>Intermodal Volume &amp; Pricing</w:t>
      </w:r>
    </w:p>
    <w:p>
      <w:pPr>
        <w:pStyle w:val="ListBullet"/>
        <w:ind w:left="360" w:hanging="360"/>
      </w:pPr>
      <w:r>
        <w:rPr>
          <w:rFonts w:ascii="Calibri" w:hAnsi="Calibri"/>
          <w:b/>
          <w:color w:val="525866"/>
          <w:sz w:val="22"/>
        </w:rPr>
        <w:t>Record quarterly intermodal volume of 578,000+ loads, up 10% YoY</w:t>
      </w:r>
      <w:r>
        <w:rPr>
          <w:rFonts w:ascii="Calibri" w:hAnsi="Calibri"/>
          <w:color w:val="525866"/>
          <w:sz w:val="22"/>
        </w:rPr>
        <w:t xml:space="preserve"> — the first double-digit volume growth quarter in over a decade. Monthly volumes: April +9%, May +9%, June +12% (accelerating). </w:t>
      </w:r>
      <w:r>
        <w:rPr>
          <w:rFonts w:ascii="Calibri" w:hAnsi="Calibri"/>
          <w:i/>
          <w:color w:val="525866"/>
          <w:sz w:val="22"/>
        </w:rPr>
        <w:t>NSC read-through:</w:t>
      </w:r>
      <w:r>
        <w:rPr>
          <w:rFonts w:ascii="Calibri" w:hAnsi="Calibri"/>
          <w:i/>
          <w:color w:val="525866"/>
          <w:sz w:val="22"/>
        </w:rPr>
        <w:t xml:space="preserve"> Directly positive for NSC's intermodal franchise; the June acceleration is particularly encouraging for Q2 exit rate.</w:t>
      </w:r>
    </w:p>
    <w:p>
      <w:pPr>
        <w:pStyle w:val="ListBullet"/>
        <w:ind w:left="360" w:hanging="360"/>
      </w:pPr>
      <w:r>
        <w:rPr>
          <w:rFonts w:ascii="Calibri" w:hAnsi="Calibri"/>
          <w:b/>
          <w:color w:val="525866"/>
          <w:sz w:val="22"/>
        </w:rPr>
        <w:t>Eastern network loads up 16% YoY</w:t>
      </w:r>
      <w:r>
        <w:rPr>
          <w:rFonts w:ascii="Calibri" w:hAnsi="Calibri"/>
          <w:color w:val="525866"/>
          <w:sz w:val="22"/>
        </w:rPr>
        <w:t xml:space="preserve"> (vs. TransCon +5%), building on +15% in Q1 — a 31% two-year stacked growth rate. Volume growth driven by truck-to-rail conversion and overall service execution. </w:t>
      </w:r>
      <w:r>
        <w:rPr>
          <w:rFonts w:ascii="Calibri" w:hAnsi="Calibri"/>
          <w:i/>
          <w:color w:val="525866"/>
          <w:sz w:val="22"/>
        </w:rPr>
        <w:t>NSC read-through:</w:t>
      </w:r>
      <w:r>
        <w:rPr>
          <w:rFonts w:ascii="Calibri" w:hAnsi="Calibri"/>
          <w:i/>
          <w:color w:val="525866"/>
          <w:sz w:val="22"/>
        </w:rPr>
        <w:t xml:space="preserve"> Eastern network growth is the most direct signal for NSC; 16% Eastern growth vs. NSC consensus of ~4.8% intermodal carload growth suggests NSC's intermodal bar may be conservative, though merger-related share losses are a partial offset.</w:t>
      </w:r>
    </w:p>
    <w:p>
      <w:pPr>
        <w:pStyle w:val="ListBullet"/>
        <w:ind w:left="360" w:hanging="360"/>
      </w:pPr>
      <w:r>
        <w:rPr>
          <w:rFonts w:ascii="Calibri" w:hAnsi="Calibri"/>
          <w:b/>
          <w:color w:val="525866"/>
          <w:sz w:val="22"/>
        </w:rPr>
        <w:t>Revenue per load ex-fuel up 1%; gross revenue per load up 11% (fuel surcharge)</w:t>
      </w:r>
      <w:r>
        <w:rPr>
          <w:rFonts w:ascii="Calibri" w:hAnsi="Calibri"/>
          <w:color w:val="525866"/>
          <w:sz w:val="22"/>
        </w:rPr>
        <w:t xml:space="preserve">. Intermodal segment revenue up 22%. Operating income up 58% on network efficiency, lower empty moves, and lower container storage expense. </w:t>
      </w:r>
      <w:r>
        <w:rPr>
          <w:rFonts w:ascii="Calibri" w:hAnsi="Calibri"/>
          <w:i/>
          <w:color w:val="525866"/>
          <w:sz w:val="22"/>
        </w:rPr>
        <w:t>NSC read-through:</w:t>
      </w:r>
      <w:r>
        <w:rPr>
          <w:rFonts w:ascii="Calibri" w:hAnsi="Calibri"/>
          <w:i/>
          <w:color w:val="525866"/>
          <w:sz w:val="22"/>
        </w:rPr>
        <w:t xml:space="preserve"> Fuel surcharge is a significant revenue tailwind; NSC's intermodal revenue consensus of +13.3% YoY is consistent with this dynamic.</w:t>
      </w:r>
    </w:p>
    <w:p>
      <w:pPr>
        <w:pStyle w:val="ListBullet"/>
        <w:ind w:left="360" w:hanging="360"/>
      </w:pPr>
      <w:r>
        <w:rPr>
          <w:rFonts w:ascii="Calibri" w:hAnsi="Calibri"/>
          <w:b/>
          <w:color w:val="525866"/>
          <w:sz w:val="22"/>
        </w:rPr>
        <w:t>2026 bid season nearing completion</w:t>
      </w:r>
      <w:r>
        <w:rPr>
          <w:rFonts w:ascii="Calibri" w:hAnsi="Calibri"/>
          <w:color w:val="525866"/>
          <w:sz w:val="22"/>
        </w:rPr>
        <w:t xml:space="preserve">; spot pricing accelerating and some contract renewals repricing higher. Management “increasingly encouraged” about 2027 bid season pricing opportunities. Historically, intermodal contract pricing lags truckload pricing. </w:t>
      </w:r>
      <w:r>
        <w:rPr>
          <w:rFonts w:ascii="Calibri" w:hAnsi="Calibri"/>
          <w:i/>
          <w:color w:val="525866"/>
          <w:sz w:val="22"/>
        </w:rPr>
        <w:t>NSC read-through:</w:t>
      </w:r>
      <w:r>
        <w:rPr>
          <w:rFonts w:ascii="Calibri" w:hAnsi="Calibri"/>
          <w:i/>
          <w:color w:val="525866"/>
          <w:sz w:val="22"/>
        </w:rPr>
        <w:t xml:space="preserve"> Pricing tailwind is building but will be more fully realized in 2027 bids; Q2 2026 pricing benefit is primarily fuel surcharge-driven.</w:t>
      </w:r>
    </w:p>
    <w:p>
      <w:pPr>
        <w:pStyle w:val="Heading3"/>
      </w:pPr>
      <w:r>
        <w:rPr>
          <w:rFonts w:ascii="Calibri" w:hAnsi="Calibri"/>
          <w:b/>
          <w:color w:val="3B4259"/>
          <w:sz w:val="24"/>
        </w:rPr>
        <w:t>Truck-to-Rail Conversion &amp; Market Dynamics</w:t>
      </w:r>
    </w:p>
    <w:p>
      <w:pPr>
        <w:pStyle w:val="ListBullet"/>
        <w:ind w:left="360" w:hanging="360"/>
      </w:pPr>
      <w:r>
        <w:rPr>
          <w:rFonts w:ascii="Calibri" w:hAnsi="Calibri"/>
          <w:b/>
          <w:color w:val="525866"/>
          <w:sz w:val="22"/>
        </w:rPr>
        <w:t>Truck capacity tightening sharply</w:t>
      </w:r>
      <w:r>
        <w:rPr>
          <w:rFonts w:ascii="Calibri" w:hAnsi="Calibri"/>
          <w:color w:val="525866"/>
          <w:sz w:val="22"/>
        </w:rPr>
        <w:t xml:space="preserve">: Truckload capacity tightened throughout Q2 due to safety-focused enforcement and supply pressures. Tender rejections, spot pricing, and driver employment moved to levels not seen since 2021–22. </w:t>
      </w:r>
      <w:r>
        <w:rPr>
          <w:rFonts w:ascii="Calibri" w:hAnsi="Calibri"/>
          <w:i/>
          <w:color w:val="525866"/>
          <w:sz w:val="22"/>
        </w:rPr>
        <w:t>NSC read-through:</w:t>
      </w:r>
      <w:r>
        <w:rPr>
          <w:rFonts w:ascii="Calibri" w:hAnsi="Calibri"/>
          <w:i/>
          <w:color w:val="525866"/>
          <w:sz w:val="22"/>
        </w:rPr>
        <w:t xml:space="preserve"> Directly supports NSC management's Q1 thesis that higher fuel prices and tightening truck supply create domestic intermodal tailwinds; the conversion opportunity is real and accelerating.</w:t>
      </w:r>
    </w:p>
    <w:p>
      <w:pPr>
        <w:pStyle w:val="ListBullet"/>
        <w:ind w:left="360" w:hanging="360"/>
      </w:pPr>
      <w:r>
        <w:rPr>
          <w:rFonts w:ascii="Calibri" w:hAnsi="Calibri"/>
          <w:b/>
          <w:color w:val="525866"/>
          <w:sz w:val="22"/>
        </w:rPr>
        <w:t>Conversion activity at decade-high levels</w:t>
      </w:r>
      <w:r>
        <w:rPr>
          <w:rFonts w:ascii="Calibri" w:hAnsi="Calibri"/>
          <w:color w:val="525866"/>
          <w:sz w:val="22"/>
        </w:rPr>
        <w:t xml:space="preserve">: JBHT CEO Shelley Simpson stated that “accelerating conversion activity is at levels not seen in more than a decade.” Driver market described as “as tight as we have ever seen” in specific markets. </w:t>
      </w:r>
      <w:r>
        <w:rPr>
          <w:rFonts w:ascii="Calibri" w:hAnsi="Calibri"/>
          <w:i/>
          <w:color w:val="525866"/>
          <w:sz w:val="22"/>
        </w:rPr>
        <w:t>NSC read-through:</w:t>
      </w:r>
      <w:r>
        <w:rPr>
          <w:rFonts w:ascii="Calibri" w:hAnsi="Calibri"/>
          <w:i/>
          <w:color w:val="525866"/>
          <w:sz w:val="22"/>
        </w:rPr>
        <w:t xml:space="preserve"> Strongest possible validation of the intermodal conversion thesis; NSC's domestic non-premium intermodal should be a primary beneficiary.</w:t>
      </w:r>
    </w:p>
    <w:p>
      <w:pPr>
        <w:pStyle w:val="ListBullet"/>
        <w:ind w:left="360" w:hanging="360"/>
      </w:pPr>
      <w:r>
        <w:rPr>
          <w:rFonts w:ascii="Calibri" w:hAnsi="Calibri"/>
          <w:b/>
          <w:color w:val="525866"/>
          <w:sz w:val="22"/>
        </w:rPr>
        <w:t>Rail service described as adequate</w:t>
      </w:r>
      <w:r>
        <w:rPr>
          <w:rFonts w:ascii="Calibri" w:hAnsi="Calibri"/>
          <w:color w:val="525866"/>
          <w:sz w:val="22"/>
        </w:rPr>
        <w:t xml:space="preserve">: JBHT's intermodal president noted rail service has “moderated slightly as volumes” increased but expressed no concern about rail capacity moving forward, citing rail providers' commitment to growth capacity and staffing. </w:t>
      </w:r>
      <w:r>
        <w:rPr>
          <w:rFonts w:ascii="Calibri" w:hAnsi="Calibri"/>
          <w:i/>
          <w:color w:val="525866"/>
          <w:sz w:val="22"/>
        </w:rPr>
        <w:t>NSC read-through:</w:t>
      </w:r>
      <w:r>
        <w:rPr>
          <w:rFonts w:ascii="Calibri" w:hAnsi="Calibri"/>
          <w:i/>
          <w:color w:val="525866"/>
          <w:sz w:val="22"/>
        </w:rPr>
        <w:t xml:space="preserve"> Neutral to slightly positive; suggests NSC's network is handling volume growth without service degradation.</w:t>
      </w:r>
    </w:p>
    <w:p>
      <w:pPr>
        <w:pStyle w:val="Heading3"/>
      </w:pPr>
      <w:r>
        <w:rPr>
          <w:rFonts w:ascii="Calibri" w:hAnsi="Calibri"/>
          <w:b/>
          <w:color w:val="3B4259"/>
          <w:sz w:val="24"/>
        </w:rPr>
        <w:t>Demand &amp; Outlook</w:t>
      </w:r>
    </w:p>
    <w:p>
      <w:pPr>
        <w:pStyle w:val="ListBullet"/>
        <w:ind w:left="360" w:hanging="360"/>
      </w:pPr>
      <w:r>
        <w:rPr>
          <w:rFonts w:ascii="Calibri" w:hAnsi="Calibri"/>
          <w:b/>
          <w:color w:val="525866"/>
          <w:sz w:val="22"/>
        </w:rPr>
        <w:t>Demand for intermodal described as ‘extraordinarily strong’</w:t>
      </w:r>
      <w:r>
        <w:rPr>
          <w:rFonts w:ascii="Calibri" w:hAnsi="Calibri"/>
          <w:color w:val="525866"/>
          <w:sz w:val="22"/>
        </w:rPr>
        <w:t xml:space="preserve">; CEO expressed excitement about H2 opportunities. Sales pipeline for dedicated services at record levels. Customers consolidating business with providers that can deliver capacity at scale. </w:t>
      </w:r>
      <w:r>
        <w:rPr>
          <w:rFonts w:ascii="Calibri" w:hAnsi="Calibri"/>
          <w:i/>
          <w:color w:val="525866"/>
          <w:sz w:val="22"/>
        </w:rPr>
        <w:t>NSC read-through:</w:t>
      </w:r>
      <w:r>
        <w:rPr>
          <w:rFonts w:ascii="Calibri" w:hAnsi="Calibri"/>
          <w:i/>
          <w:color w:val="525866"/>
          <w:sz w:val="22"/>
        </w:rPr>
        <w:t xml:space="preserve"> Positive for NSC's intermodal volume outlook through year-end; management's Q1 call optimism on domestic non-premium appears well-founded.</w:t>
      </w:r>
    </w:p>
    <w:p>
      <w:pPr>
        <w:pStyle w:val="ListBullet"/>
        <w:ind w:left="360" w:hanging="360"/>
      </w:pPr>
      <w:r>
        <w:rPr>
          <w:rFonts w:ascii="Calibri" w:hAnsi="Calibri"/>
          <w:b/>
          <w:color w:val="525866"/>
          <w:sz w:val="22"/>
        </w:rPr>
        <w:t>Fuel surcharge revenues surged to $641M in Q2 2026 vs. $352M in Q2 2025 (+82% YoY)</w:t>
      </w:r>
      <w:r>
        <w:rPr>
          <w:rFonts w:ascii="Calibri" w:hAnsi="Calibri"/>
          <w:color w:val="525866"/>
          <w:sz w:val="22"/>
        </w:rPr>
        <w:t xml:space="preserve">. Higher fuel prices are the primary driver of customers seeking intermodal as a cost-effective alternative to trucking. </w:t>
      </w:r>
      <w:r>
        <w:rPr>
          <w:rFonts w:ascii="Calibri" w:hAnsi="Calibri"/>
          <w:i/>
          <w:color w:val="525866"/>
          <w:sz w:val="22"/>
        </w:rPr>
        <w:t>NSC read-through:</w:t>
      </w:r>
      <w:r>
        <w:rPr>
          <w:rFonts w:ascii="Calibri" w:hAnsi="Calibri"/>
          <w:i/>
          <w:color w:val="525866"/>
          <w:sz w:val="22"/>
        </w:rPr>
        <w:t xml:space="preserve"> Confirms the fuel surcharge tailwind is substantial; NSC's intermodal fuel surcharge (on a 2-week lag) should capture a meaningful portion of this benefit in Q2.</w:t>
      </w:r>
    </w:p>
    <w:p>
      <w:pPr>
        <w:pStyle w:val="Heading2"/>
      </w:pPr>
      <w:r>
        <w:rPr>
          <w:rFonts w:ascii="Calibri" w:hAnsi="Calibri"/>
          <w:b/>
          <w:color w:val="3B4259"/>
          <w:sz w:val="28"/>
        </w:rPr>
        <w:t>8C. 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CSX Signal (Q2 2026, Jul 22)</w:t>
            </w:r>
          </w:p>
        </w:tc>
        <w:tc>
          <w:tcPr>
            <w:tcW w:type="dxa" w:w="2160"/>
            <w:shd w:val="clear" w:color="auto" w:fill="3B4259"/>
          </w:tcPr>
          <w:p>
            <w:r>
              <w:rPr>
                <w:rFonts w:ascii="Calibri" w:hAnsi="Calibri"/>
                <w:b/>
                <w:color w:val="FFFFFF"/>
                <w:sz w:val="22"/>
              </w:rPr>
              <w:t>JBHT Signal (Q2 2026, Jul 15)</w:t>
            </w:r>
          </w:p>
        </w:tc>
        <w:tc>
          <w:tcPr>
            <w:tcW w:type="dxa" w:w="2160"/>
            <w:shd w:val="clear" w:color="auto" w:fill="3B4259"/>
          </w:tcPr>
          <w:p>
            <w:r>
              <w:rPr>
                <w:rFonts w:ascii="Calibri" w:hAnsi="Calibri"/>
                <w:b/>
                <w:color w:val="FFFFFF"/>
                <w:sz w:val="22"/>
              </w:rPr>
              <w:t>NSC Implication</w:t>
            </w:r>
          </w:p>
        </w:tc>
      </w:tr>
      <w:tr>
        <w:tc>
          <w:tcPr>
            <w:tcW w:type="dxa" w:w="2160"/>
          </w:tcPr>
          <w:p>
            <w:r>
              <w:rPr>
                <w:rFonts w:ascii="Calibri" w:hAnsi="Calibri"/>
                <w:sz w:val="22"/>
              </w:rPr>
              <w:t>Intermodal Volume</w:t>
            </w:r>
          </w:p>
        </w:tc>
        <w:tc>
          <w:tcPr>
            <w:tcW w:type="dxa" w:w="2160"/>
          </w:tcPr>
          <w:p>
            <w:r>
              <w:rPr>
                <w:rFonts w:ascii="Calibri" w:hAnsi="Calibri"/>
                <w:b/>
                <w:color w:val="30A46C"/>
                <w:sz w:val="22"/>
              </w:rPr>
              <w:t>+9% YoY</w:t>
            </w:r>
          </w:p>
        </w:tc>
        <w:tc>
          <w:tcPr>
            <w:tcW w:type="dxa" w:w="2160"/>
          </w:tcPr>
          <w:p>
            <w:r>
              <w:rPr>
                <w:rFonts w:ascii="Calibri" w:hAnsi="Calibri"/>
                <w:b/>
                <w:color w:val="30A46C"/>
                <w:sz w:val="22"/>
              </w:rPr>
              <w:t>+10% YoY; Eastern +16%</w:t>
            </w:r>
          </w:p>
        </w:tc>
        <w:tc>
          <w:tcPr>
            <w:tcW w:type="dxa" w:w="2160"/>
          </w:tcPr>
          <w:p>
            <w:r>
              <w:rPr>
                <w:rFonts w:ascii="Calibri" w:hAnsi="Calibri"/>
                <w:sz w:val="22"/>
              </w:rPr>
              <w:t>NSC consensus of +4.8% may be conservative; merger share losses are partial offset</w:t>
            </w:r>
          </w:p>
        </w:tc>
      </w:tr>
      <w:tr>
        <w:tc>
          <w:tcPr>
            <w:tcW w:type="dxa" w:w="2160"/>
          </w:tcPr>
          <w:p>
            <w:r>
              <w:rPr>
                <w:rFonts w:ascii="Calibri" w:hAnsi="Calibri"/>
                <w:sz w:val="22"/>
              </w:rPr>
              <w:t>Truck-to-Rail Conversion</w:t>
            </w:r>
          </w:p>
        </w:tc>
        <w:tc>
          <w:tcPr>
            <w:tcW w:type="dxa" w:w="2160"/>
          </w:tcPr>
          <w:p>
            <w:r>
              <w:rPr>
                <w:rFonts w:ascii="Calibri" w:hAnsi="Calibri"/>
                <w:b/>
                <w:color w:val="30A46C"/>
                <w:sz w:val="22"/>
              </w:rPr>
              <w:t>Accelerating; forest products, waste, metals</w:t>
            </w:r>
          </w:p>
        </w:tc>
        <w:tc>
          <w:tcPr>
            <w:tcW w:type="dxa" w:w="2160"/>
          </w:tcPr>
          <w:p>
            <w:r>
              <w:rPr>
                <w:rFonts w:ascii="Calibri" w:hAnsi="Calibri"/>
                <w:b/>
                <w:color w:val="30A46C"/>
                <w:sz w:val="22"/>
              </w:rPr>
              <w:t>Decade-high conversion levels</w:t>
            </w:r>
          </w:p>
        </w:tc>
        <w:tc>
          <w:tcPr>
            <w:tcW w:type="dxa" w:w="2160"/>
          </w:tcPr>
          <w:p>
            <w:r>
              <w:rPr>
                <w:rFonts w:ascii="Calibri" w:hAnsi="Calibri"/>
                <w:sz w:val="22"/>
              </w:rPr>
              <w:t>Strong tailwind for NSC domestic non-premium intermodal</w:t>
            </w:r>
          </w:p>
        </w:tc>
      </w:tr>
      <w:tr>
        <w:tc>
          <w:tcPr>
            <w:tcW w:type="dxa" w:w="2160"/>
          </w:tcPr>
          <w:p>
            <w:r>
              <w:rPr>
                <w:rFonts w:ascii="Calibri" w:hAnsi="Calibri"/>
                <w:sz w:val="22"/>
              </w:rPr>
              <w:t>Fuel Surcharge</w:t>
            </w:r>
          </w:p>
        </w:tc>
        <w:tc>
          <w:tcPr>
            <w:tcW w:type="dxa" w:w="2160"/>
          </w:tcPr>
          <w:p>
            <w:r>
              <w:rPr>
                <w:rFonts w:ascii="Calibri" w:hAnsi="Calibri"/>
                <w:b/>
                <w:color w:val="30A46C"/>
                <w:sz w:val="22"/>
              </w:rPr>
              <w:t>Major revenue tailwind; +$177M fuel expense but surcharge recovery strong</w:t>
            </w:r>
          </w:p>
        </w:tc>
        <w:tc>
          <w:tcPr>
            <w:tcW w:type="dxa" w:w="2160"/>
          </w:tcPr>
          <w:p>
            <w:r>
              <w:rPr>
                <w:rFonts w:ascii="Calibri" w:hAnsi="Calibri"/>
                <w:b/>
                <w:color w:val="30A46C"/>
                <w:sz w:val="22"/>
              </w:rPr>
              <w:t>Fuel surcharge revenues +82% YoY to $641M</w:t>
            </w:r>
          </w:p>
        </w:tc>
        <w:tc>
          <w:tcPr>
            <w:tcW w:type="dxa" w:w="2160"/>
          </w:tcPr>
          <w:p>
            <w:r>
              <w:rPr>
                <w:rFonts w:ascii="Calibri" w:hAnsi="Calibri"/>
                <w:sz w:val="22"/>
              </w:rPr>
              <w:t>Positive for NSC intermodal (2-wk lag); merchandise/coal lag longer (~2 months) is key risk</w:t>
            </w:r>
          </w:p>
        </w:tc>
      </w:tr>
      <w:tr>
        <w:tc>
          <w:tcPr>
            <w:tcW w:type="dxa" w:w="2160"/>
          </w:tcPr>
          <w:p>
            <w:r>
              <w:rPr>
                <w:rFonts w:ascii="Calibri" w:hAnsi="Calibri"/>
                <w:sz w:val="22"/>
              </w:rPr>
              <w:t>Merchandise Demand</w:t>
            </w:r>
          </w:p>
        </w:tc>
        <w:tc>
          <w:tcPr>
            <w:tcW w:type="dxa" w:w="2160"/>
          </w:tcPr>
          <w:p>
            <w:r>
              <w:rPr>
                <w:rFonts w:ascii="Calibri" w:hAnsi="Calibri"/>
                <w:b/>
                <w:color w:val="30A46C"/>
                <w:sz w:val="22"/>
              </w:rPr>
              <w:t>+4% volume, +8% revenue; broad-based</w:t>
            </w:r>
          </w:p>
        </w:tc>
        <w:tc>
          <w:tcPr>
            <w:tcW w:type="dxa" w:w="2160"/>
          </w:tcPr>
          <w:p>
            <w:r>
              <w:rPr>
                <w:rFonts w:ascii="Calibri" w:hAnsi="Calibri"/>
                <w:b/>
                <w:color w:val="30A46C"/>
                <w:sz w:val="22"/>
              </w:rPr>
              <w:t>Industrial demand improving modestly</w:t>
            </w:r>
          </w:p>
        </w:tc>
        <w:tc>
          <w:tcPr>
            <w:tcW w:type="dxa" w:w="2160"/>
          </w:tcPr>
          <w:p>
            <w:r>
              <w:rPr>
                <w:rFonts w:ascii="Calibri" w:hAnsi="Calibri"/>
                <w:sz w:val="22"/>
              </w:rPr>
              <w:t>Positive for NSC merchandise; chemicals and metals are key overlapping franchises</w:t>
            </w:r>
          </w:p>
        </w:tc>
      </w:tr>
      <w:tr>
        <w:tc>
          <w:tcPr>
            <w:tcW w:type="dxa" w:w="2160"/>
          </w:tcPr>
          <w:p>
            <w:r>
              <w:rPr>
                <w:rFonts w:ascii="Calibri" w:hAnsi="Calibri"/>
                <w:sz w:val="22"/>
              </w:rPr>
              <w:t>Coal</w:t>
            </w:r>
          </w:p>
        </w:tc>
        <w:tc>
          <w:tcPr>
            <w:tcW w:type="dxa" w:w="2160"/>
          </w:tcPr>
          <w:p>
            <w:r>
              <w:rPr>
                <w:rFonts w:ascii="Calibri" w:hAnsi="Calibri"/>
                <w:b/>
                <w:color w:val="30A46C"/>
                <w:sz w:val="22"/>
              </w:rPr>
              <w:t>+4% volume, +9% revenue; export +12%</w:t>
            </w:r>
          </w:p>
        </w:tc>
        <w:tc>
          <w:tcPr>
            <w:tcW w:type="dxa" w:w="2160"/>
          </w:tcPr>
          <w:p>
            <w:r>
              <w:rPr>
                <w:rFonts w:ascii="Calibri" w:hAnsi="Calibri"/>
                <w:sz w:val="22"/>
              </w:rPr>
              <w:t>N/A (not a JBHT business)</w:t>
            </w:r>
          </w:p>
        </w:tc>
        <w:tc>
          <w:tcPr>
            <w:tcW w:type="dxa" w:w="2160"/>
          </w:tcPr>
          <w:p>
            <w:r>
              <w:rPr>
                <w:rFonts w:ascii="Calibri" w:hAnsi="Calibri"/>
                <w:sz w:val="22"/>
              </w:rPr>
              <w:t>Positive for NSC export coal; utility coal dynamics similar</w:t>
            </w:r>
          </w:p>
        </w:tc>
      </w:tr>
      <w:tr>
        <w:tc>
          <w:tcPr>
            <w:tcW w:type="dxa" w:w="2160"/>
          </w:tcPr>
          <w:p>
            <w:r>
              <w:rPr>
                <w:rFonts w:ascii="Calibri" w:hAnsi="Calibri"/>
                <w:sz w:val="22"/>
              </w:rPr>
              <w:t>Margin / OR</w:t>
            </w:r>
          </w:p>
        </w:tc>
        <w:tc>
          <w:tcPr>
            <w:tcW w:type="dxa" w:w="2160"/>
          </w:tcPr>
          <w:p>
            <w:r>
              <w:rPr>
                <w:rFonts w:ascii="Calibri" w:hAnsi="Calibri"/>
                <w:b/>
                <w:color w:val="30A46C"/>
                <w:sz w:val="22"/>
              </w:rPr>
              <w:t>+240 bps margin expansion despite fuel headwinds</w:t>
            </w:r>
          </w:p>
        </w:tc>
        <w:tc>
          <w:tcPr>
            <w:tcW w:type="dxa" w:w="2160"/>
          </w:tcPr>
          <w:p>
            <w:r>
              <w:rPr>
                <w:rFonts w:ascii="Calibri" w:hAnsi="Calibri"/>
                <w:b/>
                <w:color w:val="30A46C"/>
                <w:sz w:val="22"/>
              </w:rPr>
              <w:t>Intermodal operating income +58%</w:t>
            </w:r>
          </w:p>
        </w:tc>
        <w:tc>
          <w:tcPr>
            <w:tcW w:type="dxa" w:w="2160"/>
          </w:tcPr>
          <w:p>
            <w:r>
              <w:rPr>
                <w:rFonts w:ascii="Calibri" w:hAnsi="Calibri"/>
                <w:sz w:val="22"/>
              </w:rPr>
              <w:t>NSC's guided ~200 bps sequential OR improvement is credible; fuel lag is key risk</w:t>
            </w:r>
          </w:p>
        </w:tc>
      </w:tr>
      <w:tr>
        <w:tc>
          <w:tcPr>
            <w:tcW w:type="dxa" w:w="2160"/>
          </w:tcPr>
          <w:p>
            <w:r>
              <w:rPr>
                <w:rFonts w:ascii="Calibri" w:hAnsi="Calibri"/>
                <w:sz w:val="22"/>
              </w:rPr>
              <w:t>Automotive</w:t>
            </w:r>
          </w:p>
        </w:tc>
        <w:tc>
          <w:tcPr>
            <w:tcW w:type="dxa" w:w="2160"/>
          </w:tcPr>
          <w:p>
            <w:r>
              <w:rPr>
                <w:rFonts w:ascii="Calibri" w:hAnsi="Calibri"/>
                <w:b/>
                <w:color w:val="E5484D"/>
                <w:sz w:val="22"/>
              </w:rPr>
              <w:t>Caution: summer shutdowns, normalized inventories</w:t>
            </w:r>
          </w:p>
        </w:tc>
        <w:tc>
          <w:tcPr>
            <w:tcW w:type="dxa" w:w="2160"/>
          </w:tcPr>
          <w:p>
            <w:r>
              <w:rPr>
                <w:rFonts w:ascii="Calibri" w:hAnsi="Calibri"/>
                <w:sz w:val="22"/>
              </w:rPr>
              <w:t>N/A</w:t>
            </w:r>
          </w:p>
        </w:tc>
        <w:tc>
          <w:tcPr>
            <w:tcW w:type="dxa" w:w="2160"/>
          </w:tcPr>
          <w:p>
            <w:r>
              <w:rPr>
                <w:rFonts w:ascii="Calibri" w:hAnsi="Calibri"/>
                <w:sz w:val="22"/>
              </w:rPr>
              <w:t>Mild negative; NSC already guided ‘subdued but positive’ vehicle production outlook</w:t>
            </w:r>
          </w:p>
        </w:tc>
      </w:tr>
      <w:tr>
        <w:tc>
          <w:tcPr>
            <w:tcW w:type="dxa" w:w="2160"/>
          </w:tcPr>
          <w:p>
            <w:r>
              <w:rPr>
                <w:rFonts w:ascii="Calibri" w:hAnsi="Calibri"/>
                <w:sz w:val="22"/>
              </w:rPr>
              <w:t>Pricing Outlook</w:t>
            </w:r>
          </w:p>
        </w:tc>
        <w:tc>
          <w:tcPr>
            <w:tcW w:type="dxa" w:w="2160"/>
          </w:tcPr>
          <w:p>
            <w:r>
              <w:rPr>
                <w:rFonts w:ascii="Calibri" w:hAnsi="Calibri"/>
                <w:b/>
                <w:color w:val="30A46C"/>
                <w:sz w:val="22"/>
              </w:rPr>
              <w:t>Core pricing at/above plan; spot accelerating</w:t>
            </w:r>
          </w:p>
        </w:tc>
        <w:tc>
          <w:tcPr>
            <w:tcW w:type="dxa" w:w="2160"/>
          </w:tcPr>
          <w:p>
            <w:r>
              <w:rPr>
                <w:rFonts w:ascii="Calibri" w:hAnsi="Calibri"/>
                <w:b/>
                <w:color w:val="30A46C"/>
                <w:sz w:val="22"/>
              </w:rPr>
              <w:t>2027 bid season increasingly encouraging</w:t>
            </w:r>
          </w:p>
        </w:tc>
        <w:tc>
          <w:tcPr>
            <w:tcW w:type="dxa" w:w="2160"/>
          </w:tcPr>
          <w:p>
            <w:r>
              <w:rPr>
                <w:rFonts w:ascii="Calibri" w:hAnsi="Calibri"/>
                <w:sz w:val="22"/>
              </w:rPr>
              <w:t>Positive for NSC pricing trajectory; full benefit more 2027 than 2026</w:t>
            </w:r>
          </w:p>
        </w:tc>
      </w:tr>
      <w:tr>
        <w:tc>
          <w:tcPr>
            <w:tcW w:type="dxa" w:w="2160"/>
          </w:tcPr>
          <w:p>
            <w:r>
              <w:rPr>
                <w:rFonts w:ascii="Calibri" w:hAnsi="Calibri"/>
                <w:sz w:val="22"/>
              </w:rPr>
              <w:t>Plastics / Chemicals H2</w:t>
            </w:r>
          </w:p>
        </w:tc>
        <w:tc>
          <w:tcPr>
            <w:tcW w:type="dxa" w:w="2160"/>
          </w:tcPr>
          <w:p>
            <w:r>
              <w:rPr>
                <w:rFonts w:ascii="Calibri" w:hAnsi="Calibri"/>
                <w:b/>
                <w:color w:val="E5484D"/>
                <w:sz w:val="22"/>
              </w:rPr>
              <w:t>Moderation expected after H1 pull-forward</w:t>
            </w:r>
          </w:p>
        </w:tc>
        <w:tc>
          <w:tcPr>
            <w:tcW w:type="dxa" w:w="2160"/>
          </w:tcPr>
          <w:p>
            <w:r>
              <w:rPr>
                <w:rFonts w:ascii="Calibri" w:hAnsi="Calibri"/>
                <w:sz w:val="22"/>
              </w:rPr>
              <w:t>N/A</w:t>
            </w:r>
          </w:p>
        </w:tc>
        <w:tc>
          <w:tcPr>
            <w:tcW w:type="dxa" w:w="2160"/>
          </w:tcPr>
          <w:p>
            <w:r>
              <w:rPr>
                <w:rFonts w:ascii="Calibri" w:hAnsi="Calibri"/>
                <w:sz w:val="22"/>
              </w:rPr>
              <w:t>Mild H2 headwind for NSC chemicals; Q2 should still benefit from pull-forward</w:t>
            </w:r>
          </w:p>
        </w:tc>
      </w:tr>
    </w:tbl>
    <w:p>
      <w:r>
        <w:rPr>
          <w:rFonts w:ascii="Calibri" w:hAnsi="Calibri"/>
          <w:i/>
          <w:color w:val="525866"/>
          <w:sz w:val="22"/>
        </w:rPr>
        <w:t>Sources: CSX Q2 2026 Earnings Call Transcript and Earnings Release (July 22, 2026); J.B. Hunt Q2 2026 Earnings Call Transcript and Earnings Release (July 15, 2026). All commentary is from the current Q2 2026 reporting period (post-April 24, 2026 NSC earnings call). No prior-quarter peer commentary is included.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