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Northern Trust (NTRS) to build a well-informed earnings preview. Let me start gathering data.Let me read the most recent quarter's results and check recent news and price action.Let me read the Q1 2026 earnings call transcript for management's outlook, and search recent news including any strategic/M&amp;A chatter.Let me get consensus estimates and any recent analyst/news items via web search.I have what I need. Let me quickly compute a few price stats for the preview.Here is the earnings preview.</w:t>
      </w:r>
    </w:p>
    <w:p>
      <w:r>
        <w:pict>
          <v:rect style="width:0;height:1.5pt" o:hralign="center" o:hrstd="t" o:hr="t"/>
        </w:pict>
      </w:r>
    </w:p>
    <w:bookmarkStart w:id="16" w:name="X62f368b41cde6ae51ca9a4443aa1d345039c741"/>
    <w:p>
      <w:pPr>
        <w:pStyle w:val="Heading1"/>
      </w:pPr>
      <w:r>
        <w:t xml:space="preserve">Northern Trust (NTRS) — Q2 2026 Earnings Preview</w:t>
      </w:r>
    </w:p>
    <w:bookmarkStart w:id="9" w:name="X5d49c868d71f4e1e148bd0ff0e34633a3543cc3"/>
    <w:p>
      <w:pPr>
        <w:pStyle w:val="Heading3"/>
      </w:pPr>
      <w:r>
        <w:t xml:space="preserve">Reports before market open Wednesday, July 22, 2026 | Conference call 8:00am CT</w:t>
      </w:r>
    </w:p>
    <w:bookmarkEnd w:id="9"/>
    <w:bookmarkStart w:id="10" w:name="the-setup-in-one-line"/>
    <w:p>
      <w:pPr>
        <w:pStyle w:val="Heading2"/>
      </w:pPr>
      <w:r>
        <w:t xml:space="preserve">The Setup in One Line</w:t>
      </w:r>
    </w:p>
    <w:p>
      <w:pPr>
        <w:pStyle w:val="FirstParagraph"/>
      </w:pPr>
      <w:r>
        <w:t xml:space="preserve">Northern Trust heads into Q2 riding its strongest operating momentum in years, but the stock has already rallied ~33% YTD (to ~</w:t>
      </w:r>
      <m:oMath>
        <m:r>
          <m:t>185</m:t>
        </m:r>
        <m:r>
          <m:t>f</m:t>
        </m:r>
        <m:r>
          <m:t>r</m:t>
        </m:r>
        <m:r>
          <m:t>o</m:t>
        </m:r>
        <m:r>
          <m:t>m</m:t>
        </m:r>
        <m:r>
          <m:t> </m:t>
        </m:r>
      </m:oMath>
      <w:r>
        <w:t xml:space="preserve">139 at the start of January) and sits just ~3% off its mid-July high of ~</w:t>
      </w:r>
      <m:oMath>
        <m:r>
          <m:t>191</m:t>
        </m:r>
        <m:r>
          <m:rPr>
            <m:sty m:val="p"/>
          </m:rPr>
          <m:t>.</m:t>
        </m:r>
        <m:r>
          <m:t>T</m:t>
        </m:r>
        <m:r>
          <m:t>h</m:t>
        </m:r>
        <m:r>
          <m:t>e</m:t>
        </m:r>
        <m:r>
          <m:t>b</m:t>
        </m:r>
        <m:r>
          <m:t>a</m:t>
        </m:r>
        <m:r>
          <m:t>r</m:t>
        </m:r>
        <m:r>
          <m:t>i</m:t>
        </m:r>
        <m:r>
          <m:t>s</m:t>
        </m:r>
        <m:r>
          <m:t>h</m:t>
        </m:r>
        <m:r>
          <m:t>i</m:t>
        </m:r>
        <m:r>
          <m:t>g</m:t>
        </m:r>
        <m:r>
          <m:t>h</m:t>
        </m:r>
        <m:r>
          <m:rPr>
            <m:sty m:val="p"/>
          </m:rPr>
          <m:t>:</m:t>
        </m:r>
        <m:r>
          <m:t>t</m:t>
        </m:r>
        <m:r>
          <m:t>h</m:t>
        </m:r>
        <m:r>
          <m:t>e</m:t>
        </m:r>
        <m:r>
          <m:t>S</m:t>
        </m:r>
        <m:r>
          <m:t>t</m:t>
        </m:r>
        <m:r>
          <m:t>r</m:t>
        </m:r>
        <m:r>
          <m:t>e</m:t>
        </m:r>
        <m:r>
          <m:t>e</m:t>
        </m:r>
        <m:r>
          <m:t>t</m:t>
        </m:r>
        <m:r>
          <m:t>e</m:t>
        </m:r>
        <m:r>
          <m:t>x</m:t>
        </m:r>
        <m:r>
          <m:t>p</m:t>
        </m:r>
        <m:r>
          <m:t>e</m:t>
        </m:r>
        <m:r>
          <m:t>c</m:t>
        </m:r>
        <m:r>
          <m:t>t</m:t>
        </m:r>
        <m:r>
          <m:t>s</m:t>
        </m:r>
        <m:r>
          <m:t>r</m:t>
        </m:r>
        <m:r>
          <m:t>o</m:t>
        </m:r>
        <m:r>
          <m:t>u</m:t>
        </m:r>
        <m:r>
          <m:t>g</m:t>
        </m:r>
        <m:r>
          <m:t>h</m:t>
        </m:r>
        <m:r>
          <m:t>l</m:t>
        </m:r>
        <m:r>
          <m:t>y</m:t>
        </m:r>
        <m:r>
          <m:rPr>
            <m:sty m:val="p"/>
          </m:rPr>
          <m:t>*</m:t>
        </m:r>
        <m:r>
          <m:rPr>
            <m:sty m:val="p"/>
          </m:rPr>
          <m:t>*</m:t>
        </m:r>
      </m:oMath>
      <w:r>
        <w:t xml:space="preserve">2.63 in EPS**, up ~23.5% from the $2.13 reported a year ago, and NTRS has beaten the consensus bottom line in each of the last four quarters. With a "Hold"-skewed analyst rating and a full valuation, this print is less about whether the quarter is "good" and more about whether the recent tailwinds are durable enough to justify the re-rating.</w:t>
      </w:r>
    </w:p>
    <w:bookmarkEnd w:id="10"/>
    <w:bookmarkStart w:id="11" w:name="Xd803e4f3ed87a28f5798da6d3bb9934f3bacc1b"/>
    <w:p>
      <w:pPr>
        <w:pStyle w:val="Heading2"/>
      </w:pPr>
      <w:r>
        <w:t xml:space="preserve">What Happened Last Quarter (the baseline to beat)</w:t>
      </w:r>
    </w:p>
    <w:p>
      <w:pPr>
        <w:pStyle w:val="FirstParagraph"/>
      </w:pPr>
      <w:r>
        <w:t xml:space="preserve">Q1 2026 was a blowout. NTRS earned</w:t>
      </w:r>
      <w:r>
        <w:t xml:space="preserve"> </w:t>
      </w:r>
      <w:r>
        <w:rPr>
          <w:b/>
          <w:bCs/>
        </w:rPr>
        <w:t xml:space="preserve">$2.71</w:t>
      </w:r>
      <w:r>
        <w:t xml:space="preserve"> </w:t>
      </w:r>
      <w:r>
        <w:t xml:space="preserve">(vs. $1.90 a year earlier, +43%), with:</w:t>
      </w:r>
    </w:p>
    <w:p>
      <w:pPr>
        <w:pStyle w:val="Compact"/>
        <w:numPr>
          <w:ilvl w:val="0"/>
          <w:numId w:val="1001"/>
        </w:numPr>
      </w:pPr>
      <w:r>
        <w:rPr>
          <w:b/>
          <w:bCs/>
        </w:rPr>
        <w:t xml:space="preserve">Revenue +14% YoY</w:t>
      </w:r>
      <w:r>
        <w:t xml:space="preserve"> </w:t>
      </w:r>
      <w:r>
        <w:t xml:space="preserve">to $2.21B (FTE)</w:t>
      </w:r>
    </w:p>
    <w:p>
      <w:pPr>
        <w:pStyle w:val="Compact"/>
        <w:numPr>
          <w:ilvl w:val="0"/>
          <w:numId w:val="1001"/>
        </w:numPr>
      </w:pPr>
      <w:r>
        <w:rPr>
          <w:b/>
          <w:bCs/>
        </w:rPr>
        <w:t xml:space="preserve">Trust/servicing fees +11%</w:t>
      </w:r>
      <w:r>
        <w:t xml:space="preserve"> </w:t>
      </w:r>
      <w:r>
        <w:t xml:space="preserve">to $1.34B</w:t>
      </w:r>
    </w:p>
    <w:p>
      <w:pPr>
        <w:pStyle w:val="Compact"/>
        <w:numPr>
          <w:ilvl w:val="0"/>
          <w:numId w:val="1001"/>
        </w:numPr>
      </w:pPr>
      <w:r>
        <w:rPr>
          <w:b/>
          <w:bCs/>
        </w:rPr>
        <w:t xml:space="preserve">NII a record $661.6M (FTE), +15% YoY</w:t>
      </w:r>
    </w:p>
    <w:p>
      <w:pPr>
        <w:pStyle w:val="Compact"/>
        <w:numPr>
          <w:ilvl w:val="0"/>
          <w:numId w:val="1001"/>
        </w:numPr>
      </w:pPr>
      <w:r>
        <w:rPr>
          <w:b/>
          <w:bCs/>
        </w:rPr>
        <w:t xml:space="preserve">ROE of 17.4%</w:t>
      </w:r>
      <w:r>
        <w:t xml:space="preserve"> </w:t>
      </w:r>
      <w:r>
        <w:t xml:space="preserve">— at the high end of the medium-term target range</w:t>
      </w:r>
    </w:p>
    <w:p>
      <w:pPr>
        <w:pStyle w:val="Compact"/>
        <w:numPr>
          <w:ilvl w:val="0"/>
          <w:numId w:val="1001"/>
        </w:numPr>
      </w:pPr>
      <w:r>
        <w:rPr>
          <w:b/>
          <w:bCs/>
        </w:rPr>
        <w:t xml:space="preserve">32% pre-tax margin</w:t>
      </w:r>
      <w:r>
        <w:t xml:space="preserve">, ~700bps of positive operating leverage</w:t>
      </w:r>
    </w:p>
    <w:p>
      <w:pPr>
        <w:pStyle w:val="Compact"/>
        <w:numPr>
          <w:ilvl w:val="0"/>
          <w:numId w:val="1001"/>
        </w:numPr>
      </w:pPr>
      <w:r>
        <w:rPr>
          <w:b/>
          <w:bCs/>
        </w:rPr>
        <w:t xml:space="preserve">100% of earnings returned</w:t>
      </w:r>
      <w:r>
        <w:t xml:space="preserve"> </w:t>
      </w:r>
      <w:r>
        <w:t xml:space="preserve">to shareholders ($510M, incl. $359M buyback; ~5% YoY share-count reduction)</w:t>
      </w:r>
    </w:p>
    <w:p>
      <w:pPr>
        <w:pStyle w:val="FirstParagraph"/>
      </w:pPr>
      <w:r>
        <w:t xml:space="preserve">Management raised full-year NII guidance to</w:t>
      </w:r>
      <w:r>
        <w:t xml:space="preserve"> </w:t>
      </w:r>
      <w:r>
        <w:rPr>
          <w:b/>
          <w:bCs/>
        </w:rPr>
        <w:t xml:space="preserve">mid-to-high single-digit growth</w:t>
      </w:r>
      <w:r>
        <w:t xml:space="preserve"> </w:t>
      </w:r>
      <w:r>
        <w:t xml:space="preserve">(from low-to-mid), while reiterating</w:t>
      </w:r>
      <w:r>
        <w:t xml:space="preserve"> </w:t>
      </w:r>
      <w:r>
        <w:rPr>
          <w:b/>
          <w:bCs/>
        </w:rPr>
        <w:t xml:space="preserve">&gt;100bps of positive operating leverage</w:t>
      </w:r>
      <w:r>
        <w:t xml:space="preserve"> </w:t>
      </w:r>
      <w:r>
        <w:t xml:space="preserve">and a</w:t>
      </w:r>
      <w:r>
        <w:t xml:space="preserve"> </w:t>
      </w:r>
      <w:r>
        <w:rPr>
          <w:b/>
          <w:bCs/>
        </w:rPr>
        <w:t xml:space="preserve">≥100% payout ratio</w:t>
      </w:r>
      <w:r>
        <w:t xml:space="preserve">. The stock jumped ~8% on the Q1 print.</w:t>
      </w:r>
    </w:p>
    <w:bookmarkEnd w:id="11"/>
    <w:bookmarkStart w:id="12" w:name="key-things-to-watch-in-q2"/>
    <w:p>
      <w:pPr>
        <w:pStyle w:val="Heading2"/>
      </w:pPr>
      <w:r>
        <w:t xml:space="preserve">Key Things to Watch in Q2</w:t>
      </w:r>
    </w:p>
    <w:p>
      <w:pPr>
        <w:pStyle w:val="FirstParagraph"/>
      </w:pPr>
      <w:r>
        <w:rPr>
          <w:b/>
          <w:bCs/>
        </w:rPr>
        <w:t xml:space="preserve">1. Can the deposit/NII strength hold, or does it normalize?</w:t>
      </w:r>
      <w:r>
        <w:t xml:space="preserve"> </w:t>
      </w:r>
      <w:r>
        <w:t xml:space="preserve">This is the single most important swing factor. Q1's beat was flattered by ~</w:t>
      </w:r>
      <w:r>
        <w:t xml:space="preserve">$9B of "unusually large," non-core institutional deposits from a handful of clients doing strategic repositioning. CFO Dave Fox flagged that NTRS expected to **retain only ~$</w:t>
      </w:r>
      <w:r>
        <w:t xml:space="preserve">4–5B of that ~$9B into Q2**, so average deposits and the 1.75% NIM (already down 6bps sequentially) could give back some ground. Offsets that support NII: back-book securities repricing, prior deposit-pricing actions not yet fully lapped, a shift toward higher-yielding investments/FICC repo, and — notably — the</w:t>
      </w:r>
      <w:r>
        <w:t xml:space="preserve"> </w:t>
      </w:r>
      <w:r>
        <w:rPr>
          <w:b/>
          <w:bCs/>
        </w:rPr>
        <w:t xml:space="preserve">removal of the U.S. rate-cut headwind</w:t>
      </w:r>
      <w:r>
        <w:t xml:space="preserve"> </w:t>
      </w:r>
      <w:r>
        <w:t xml:space="preserve">from the outlook (with possible European rate increases). Watch whether the raised full-year NII guide gets reaffirmed or nudged again.</w:t>
      </w:r>
    </w:p>
    <w:p>
      <w:pPr>
        <w:pStyle w:val="BodyText"/>
      </w:pPr>
      <w:r>
        <w:rPr>
          <w:b/>
          <w:bCs/>
        </w:rPr>
        <w:t xml:space="preserve">2. Is the capital-markets/FX tailwind repeatable?</w:t>
      </w:r>
      <w:r>
        <w:t xml:space="preserve"> </w:t>
      </w:r>
      <w:r>
        <w:t xml:space="preserve">Q1's other noninterest income surged 33% YoY, driven by FX trading (+49%) and securities commissions/trading (+33%) on elevated market volatility. This is inherently a "constructive environment" benefit. If volatility cooled in Q2, this line is the most likely source of sequential give-back. Management itself framed Q1 as benefiting from a favorable macro backdrop and flagged "tough comps" ahead.</w:t>
      </w:r>
    </w:p>
    <w:p>
      <w:pPr>
        <w:pStyle w:val="BodyText"/>
      </w:pPr>
      <w:r>
        <w:rPr>
          <w:b/>
          <w:bCs/>
        </w:rPr>
        <w:t xml:space="preserve">3. Operating leverage vs. the conservative guide.</w:t>
      </w:r>
      <w:r>
        <w:t xml:space="preserve"> </w:t>
      </w:r>
      <w:r>
        <w:t xml:space="preserve">NTRS printed ~700bps of operating leverage in Q1 yet kept guidance at just &gt;100bps for the year — implying meaningful expense ramp ahead. Fox said "the direction of travel on expenses is up... down for the remainder of the year" in terms of the trajectory, while management is simultaneously investing in growth (see below). Look for continued discipline on the expense-to-trust-fee ratio (112.4% in Q1, down 440bps YoY).</w:t>
      </w:r>
    </w:p>
    <w:p>
      <w:pPr>
        <w:pStyle w:val="BodyText"/>
      </w:pPr>
      <w:r>
        <w:rPr>
          <w:b/>
          <w:bCs/>
        </w:rPr>
        <w:t xml:space="preserve">4. The organic-growth acceleration story.</w:t>
      </w:r>
      <w:r>
        <w:t xml:space="preserve"> </w:t>
      </w:r>
      <w:r>
        <w:t xml:space="preserve">Management leaned harder than usual on organic growth in Q1. Wealth Management is targeting a</w:t>
      </w:r>
      <w:r>
        <w:t xml:space="preserve"> </w:t>
      </w:r>
      <w:r>
        <w:rPr>
          <w:b/>
          <w:bCs/>
        </w:rPr>
        <w:t xml:space="preserve">high-single-digit % increase in revenue-generating/producer roles by year-end</w:t>
      </w:r>
      <w:r>
        <w:t xml:space="preserve"> </w:t>
      </w:r>
      <w:r>
        <w:t xml:space="preserve">— a notable pivot into arguably the most competitive wealth-talent market in years. Watch commentary on:</w:t>
      </w:r>
    </w:p>
    <w:p>
      <w:pPr>
        <w:pStyle w:val="Compact"/>
        <w:numPr>
          <w:ilvl w:val="0"/>
          <w:numId w:val="1002"/>
        </w:numPr>
      </w:pPr>
      <w:r>
        <w:t xml:space="preserve">Wealth regions (organic growth ~1%, below the 3% company target) vs. the standout Global Family Office business (above average)</w:t>
      </w:r>
    </w:p>
    <w:p>
      <w:pPr>
        <w:pStyle w:val="Compact"/>
        <w:numPr>
          <w:ilvl w:val="0"/>
          <w:numId w:val="1002"/>
        </w:numPr>
      </w:pPr>
      <w:r>
        <w:t xml:space="preserve">Asset Servicing new mandates and the ~$1T alternatives administration franchise</w:t>
      </w:r>
    </w:p>
    <w:p>
      <w:pPr>
        <w:pStyle w:val="Compact"/>
        <w:numPr>
          <w:ilvl w:val="0"/>
          <w:numId w:val="1002"/>
        </w:numPr>
      </w:pPr>
      <w:r>
        <w:t xml:space="preserve">NTAM flows (13 straight quarters of positive liquidity flows; ETF momentum; Envestnet/third-party distribution buildout)</w:t>
      </w:r>
    </w:p>
    <w:p>
      <w:pPr>
        <w:pStyle w:val="FirstParagraph"/>
      </w:pPr>
      <w:r>
        <w:rPr>
          <w:b/>
          <w:bCs/>
        </w:rPr>
        <w:t xml:space="preserve">5. Capital return and the Visa Class B monetization.</w:t>
      </w:r>
      <w:r>
        <w:t xml:space="preserve"> </w:t>
      </w:r>
      <w:r>
        <w:t xml:space="preserve">NTRS returns 100%+ of earnings and is buying back stock aggressively. CET1 slipped 60bps to 12.0% in Q1 on capital-markets-driven RWA growth — worth monitoring. Additionally, NTRS expects to receive roughly</w:t>
      </w:r>
      <w:r>
        <w:t xml:space="preserve"> </w:t>
      </w:r>
      <w:r>
        <w:rPr>
          <w:b/>
          <w:bCs/>
        </w:rPr>
        <w:t xml:space="preserve">half of its Visa Class B position (~</w:t>
      </w:r>
      <m:oMath>
        <m:r>
          <m:t>470</m:t>
        </m:r>
        <m:r>
          <m:t>M</m:t>
        </m:r>
        <m:r>
          <m:t>p</m:t>
        </m:r>
        <m:r>
          <m:t>r</m:t>
        </m:r>
        <m:r>
          <m:t>e</m:t>
        </m:r>
        <m:r>
          <m:t>t</m:t>
        </m:r>
        <m:r>
          <m:t>a</m:t>
        </m:r>
        <m:r>
          <m:t>x</m:t>
        </m:r>
        <m:r>
          <m:rPr>
            <m:sty m:val="p"/>
          </m:rPr>
          <m:t>/</m:t>
        </m:r>
        <m:r>
          <m:t> </m:t>
        </m:r>
      </m:oMath>
      <w:r>
        <w:rPr>
          <w:b/>
          <w:bCs/>
        </w:rPr>
        <w:t xml:space="preserve">350M after-tax)</w:t>
      </w:r>
      <w:r>
        <w:t xml:space="preserve"> </w:t>
      </w:r>
      <w:r>
        <w:t xml:space="preserve">this year, with the use of proceeds still undecided. Any signal on incremental buybacks would be a positive catalyst.</w:t>
      </w:r>
    </w:p>
    <w:bookmarkEnd w:id="12"/>
    <w:bookmarkStart w:id="13" w:name="the-ma-overhang-dont-ignore-it"/>
    <w:p>
      <w:pPr>
        <w:pStyle w:val="Heading2"/>
      </w:pPr>
      <w:r>
        <w:t xml:space="preserve">The M&amp;A Overhang (don't ignore it)</w:t>
      </w:r>
    </w:p>
    <w:p>
      <w:pPr>
        <w:pStyle w:val="FirstParagraph"/>
      </w:pPr>
      <w:r>
        <w:t xml:space="preserve">In June/July 2025, reports (WSJ) surfaced that BNY and Northern Trust CEOs had discussed a potential combination. CEO Mike O'Grady has now</w:t>
      </w:r>
      <w:r>
        <w:t xml:space="preserve"> </w:t>
      </w:r>
      <w:r>
        <w:rPr>
          <w:b/>
          <w:bCs/>
        </w:rPr>
        <w:t xml:space="preserve">firmly and repeatedly denied it</w:t>
      </w:r>
      <w:r>
        <w:t xml:space="preserve"> </w:t>
      </w:r>
      <w:r>
        <w:t xml:space="preserve">— on the Q2 2025 call ("I want to reaffirm our commitment to remain independent... we have never entertained discussions regarding the sale of the company") and again as recently as January 2026. The takeout speculation likely provides a soft floor under the stock, but management is clearly steering toward a standalone, execution-driven narrative. Any fresh questions on this topic could move shares.</w:t>
      </w:r>
    </w:p>
    <w:bookmarkEnd w:id="13"/>
    <w:bookmarkStart w:id="14" w:name="model-reference-points-yoy-comps"/>
    <w:p>
      <w:pPr>
        <w:pStyle w:val="Heading2"/>
      </w:pPr>
      <w:r>
        <w:t xml:space="preserve">Model Reference Points (YoY comps)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 actual)</w:t>
            </w:r>
          </w:p>
        </w:tc>
        <w:tc>
          <w:tcPr/>
          <w:p>
            <w:pPr>
              <w:pStyle w:val="Compact"/>
            </w:pPr>
            <w:r>
              <w:t xml:space="preserve">Value</w:t>
            </w:r>
          </w:p>
        </w:tc>
      </w:tr>
      <w:tr>
        <w:tc>
          <w:tcPr/>
          <w:p>
            <w:pPr>
              <w:pStyle w:val="Compact"/>
            </w:pPr>
            <w:r>
              <w:t xml:space="preserve">EPS (diluted)</w:t>
            </w:r>
          </w:p>
        </w:tc>
        <w:tc>
          <w:tcPr/>
          <w:p>
            <w:pPr>
              <w:pStyle w:val="Compact"/>
            </w:pPr>
            <w:r>
              <w:t xml:space="preserve">$2.13</w:t>
            </w:r>
          </w:p>
        </w:tc>
      </w:tr>
      <w:tr>
        <w:tc>
          <w:tcPr/>
          <w:p>
            <w:pPr>
              <w:pStyle w:val="Compact"/>
            </w:pPr>
            <w:r>
              <w:t xml:space="preserve">Total revenue (GAAP)</w:t>
            </w:r>
          </w:p>
        </w:tc>
        <w:tc>
          <w:tcPr/>
          <w:p>
            <w:pPr>
              <w:pStyle w:val="Compact"/>
            </w:pPr>
            <w:r>
              <w:t xml:space="preserve">$1,997.9M</w:t>
            </w:r>
          </w:p>
        </w:tc>
      </w:tr>
      <w:tr>
        <w:tc>
          <w:tcPr/>
          <w:p>
            <w:pPr>
              <w:pStyle w:val="Compact"/>
            </w:pPr>
            <w:r>
              <w:t xml:space="preserve">Trust/servicing fees</w:t>
            </w:r>
          </w:p>
        </w:tc>
        <w:tc>
          <w:tcPr/>
          <w:p>
            <w:pPr>
              <w:pStyle w:val="Compact"/>
            </w:pPr>
            <w:r>
              <w:t xml:space="preserve">$1,231.1M</w:t>
            </w:r>
          </w:p>
        </w:tc>
      </w:tr>
      <w:tr>
        <w:tc>
          <w:tcPr/>
          <w:p>
            <w:pPr>
              <w:pStyle w:val="Compact"/>
            </w:pPr>
            <w:r>
              <w:t xml:space="preserve">NII (GAAP)</w:t>
            </w:r>
          </w:p>
        </w:tc>
        <w:tc>
          <w:tcPr/>
          <w:p>
            <w:pPr>
              <w:pStyle w:val="Compact"/>
            </w:pPr>
            <w:r>
              <w:t xml:space="preserve">$610.5M</w:t>
            </w:r>
          </w:p>
        </w:tc>
      </w:tr>
      <w:tr>
        <w:tc>
          <w:tcPr/>
          <w:p>
            <w:pPr>
              <w:pStyle w:val="Compact"/>
            </w:pPr>
            <w:r>
              <w:t xml:space="preserve">Pre-tax margin (FTE)</w:t>
            </w:r>
          </w:p>
        </w:tc>
        <w:tc>
          <w:tcPr/>
          <w:p>
            <w:pPr>
              <w:pStyle w:val="Compact"/>
            </w:pPr>
            <w:r>
              <w:t xml:space="preserve">28.4%</w:t>
            </w:r>
          </w:p>
        </w:tc>
      </w:tr>
      <w:tr>
        <w:tc>
          <w:tcPr/>
          <w:p>
            <w:pPr>
              <w:pStyle w:val="Compact"/>
            </w:pPr>
            <w:r>
              <w:t xml:space="preserve">ROE</w:t>
            </w:r>
          </w:p>
        </w:tc>
        <w:tc>
          <w:tcPr/>
          <w:p>
            <w:pPr>
              <w:pStyle w:val="Compact"/>
            </w:pPr>
            <w:r>
              <w:t xml:space="preserve">14.2%</w:t>
            </w:r>
          </w:p>
        </w:tc>
      </w:tr>
    </w:tbl>
    <w:p>
      <w:pPr>
        <w:pStyle w:val="BodyText"/>
      </w:pPr>
      <w:r>
        <w:rPr>
          <w:b/>
          <w:bCs/>
        </w:rPr>
        <w:t xml:space="preserve">Consensus Q2 2026 EPS: ~$2.63</w:t>
      </w:r>
      <w:r>
        <w:t xml:space="preserve"> </w:t>
      </w:r>
      <w:r>
        <w:t xml:space="preserve">(implied sequential dip from Q1's $2.71, consistent with some normalization of deposit and capital-markets tailwinds). Guidance anchors: full-year NII mid-to-high single-digit growth, &gt;100bps operating leverage, ≥100% payout, ~26–26.5% tax rate.</w:t>
      </w:r>
    </w:p>
    <w:bookmarkEnd w:id="14"/>
    <w:bookmarkStart w:id="15" w:name="bottom-line"/>
    <w:p>
      <w:pPr>
        <w:pStyle w:val="Heading2"/>
      </w:pPr>
      <w:r>
        <w:t xml:space="preserve">Bottom Line</w:t>
      </w:r>
    </w:p>
    <w:p>
      <w:pPr>
        <w:pStyle w:val="FirstParagraph"/>
      </w:pPr>
      <w:r>
        <w:t xml:space="preserve">NTRS is executing well and firing on all cylinders — fees, NII, margins, and capital return are all trending the right way. The risk into the print is expectations and mix: a chunk of Q1's upside came from transitory deposit surges and volatility-driven trading that are unlikely to fully repeat. With shares near record highs and up ~33% YTD, the market is pricing in durability. The reaction likely hinges on (1) NII/deposit trajectory and whether the full-year guide is raised again, (2) evidence that the wealth-talent and organic-growth investments are translating into accelerating fee growth without eroding operating leverage, and (3) any update on Visa proceeds and buyback pace. A clean beat with a reaffirmed/raised guide could extend the run; an in-line quarter that shows the macro tailwinds fading may struggle to clear the elevated bar.</w:t>
      </w:r>
    </w:p>
    <w:p>
      <w:pPr>
        <w:pStyle w:val="BodyText"/>
      </w:pPr>
      <w:r>
        <w:rPr>
          <w:i/>
          <w:iCs/>
        </w:rPr>
        <w:t xml:space="preserve">Note: Consensus, ratings, and 52-week performance figures are drawn from public reporting ahead of the print; all reported financials are from Northern Trust's Q1 2026 earnings release and call.</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2026-07-22T00:19:29Z</dcterms:created>
  <dcterms:modified xsi:type="dcterms:W3CDTF">2026-07-22T00:19:29Z</dcterms:modified>
</cp:coreProperties>
</file>

<file path=docProps/custom.xml><?xml version="1.0" encoding="utf-8"?>
<Properties xmlns="http://schemas.openxmlformats.org/officeDocument/2006/custom-properties" xmlns:vt="http://schemas.openxmlformats.org/officeDocument/2006/docPropsVTypes"/>
</file>