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038ce7935e9840555ef78e96d61cb572d30aa03"/>
    <w:p>
      <w:pPr>
        <w:pStyle w:val="Heading1"/>
      </w:pPr>
      <w:r>
        <w:t xml:space="preserve">Northern Trust Corporation (NTRS) — Q2 2026 Earnings Preview</w:t>
      </w:r>
    </w:p>
    <w:p>
      <w:pPr>
        <w:pStyle w:val="FirstParagraph"/>
      </w:pPr>
      <w:r>
        <w:rPr>
          <w:b/>
          <w:bCs/>
        </w:rPr>
        <w:t xml:space="preserve">Reports: Wednesday, July 22, 2026, before market open | Call: 9:00 AM ET</w:t>
      </w:r>
    </w:p>
    <w:bookmarkStart w:id="9" w:name="X26ff9e5b1e2d0d6771eb43fde1b7b3ef4ca99f2"/>
    <w:p>
      <w:pPr>
        <w:pStyle w:val="Heading2"/>
      </w:pPr>
      <w:r>
        <w:t xml:space="preserve">Setup: A Stock at All-Time Highs Coming Off a Blowout Quarter</w:t>
      </w:r>
    </w:p>
    <w:p>
      <w:pPr>
        <w:pStyle w:val="FirstParagraph"/>
      </w:pPr>
      <w:r>
        <w:t xml:space="preserve">Northern Trust heads into tomorrow's print riding significant momentum. NASDAQ NTRS has traded around $182-185, well above its fifty-day moving average of $173.43 and its 12-month low of $118.99, with a 12-month high of $191.60 hit in mid-July. The stock is up roughly 30%+ year-to-date and climbed more than 8% on April 21 after the company reported a stronger-than-expected first quarter, and has continued grinding higher since — including a pop after its dividend hike in late June.</w:t>
      </w:r>
    </w:p>
    <w:p>
      <w:pPr>
        <w:pStyle w:val="BodyText"/>
      </w:pPr>
      <w:r>
        <w:rPr>
          <w:b/>
          <w:bCs/>
        </w:rPr>
        <w:t xml:space="preserve">Consensus for Q2 2026:</w:t>
      </w:r>
      <w:r>
        <w:t xml:space="preserve"> </w:t>
      </w:r>
      <w:r>
        <w:t xml:space="preserve">Estimates cluster around</w:t>
      </w:r>
      <w:r>
        <w:t xml:space="preserve"> </w:t>
      </w:r>
      <w:r>
        <w:rPr>
          <w:b/>
          <w:bCs/>
        </w:rPr>
        <w:t xml:space="preserve">EPS of</w:t>
      </w:r>
      <w:r>
        <w:rPr>
          <w:b/>
          <w:bCs/>
        </w:rPr>
        <w:t xml:space="preserve"> </w:t>
      </w:r>
      <m:oMath>
        <m:r>
          <m:t>2.65</m:t>
        </m:r>
        <m:r>
          <m:rPr>
            <m:sty m:val="p"/>
          </m:rPr>
          <m:t>−</m:t>
        </m:r>
        <m:r>
          <m:t>2.68</m:t>
        </m:r>
        <m:r>
          <m:rPr>
            <m:sty m:val="p"/>
          </m:rPr>
          <m:t>*</m:t>
        </m:r>
        <m:r>
          <m:rPr>
            <m:sty m:val="p"/>
          </m:rPr>
          <m:t>*</m:t>
        </m:r>
        <m:r>
          <m:t>o</m:t>
        </m:r>
        <m:r>
          <m:t>n</m:t>
        </m:r>
        <m:r>
          <m:rPr>
            <m:sty m:val="p"/>
          </m:rPr>
          <m:t>*</m:t>
        </m:r>
        <m:r>
          <m:rPr>
            <m:sty m:val="p"/>
          </m:rPr>
          <m:t>*</m:t>
        </m:r>
        <m:r>
          <m:t>r</m:t>
        </m:r>
        <m:r>
          <m:t>e</m:t>
        </m:r>
        <m:r>
          <m:t>v</m:t>
        </m:r>
        <m:r>
          <m:t>e</m:t>
        </m:r>
        <m:r>
          <m:t>n</m:t>
        </m:r>
        <m:r>
          <m:t>u</m:t>
        </m:r>
        <m:r>
          <m:t>e</m:t>
        </m:r>
        <m:r>
          <m:t>o</m:t>
        </m:r>
        <m:r>
          <m:t>f</m:t>
        </m:r>
        <m:r>
          <m:t> </m:t>
        </m:r>
      </m:oMath>
      <w:r>
        <w:rPr>
          <w:b/>
          <w:bCs/>
        </w:rPr>
        <w:t xml:space="preserve">2.69 billion</w:t>
      </w:r>
      <w:r>
        <w:t xml:space="preserve">, implying roughly 24-26% year-over-year EPS growth. This company is expected to post quarterly earnings of $2.68 per share in its upcoming report, which represents a year-over-year change of +25.8%. Northern has a strong beat history — the company has a history of consistently beating Wall Street's bottom-line estimates, having done so in the last four consecutive quarters — and last quarter's beat was enormous: the asset manager reported $2.71 earnings per share for the quarter, topping analysts' consensus estimates of $2.37 by $0.34.</w:t>
      </w:r>
    </w:p>
    <w:p>
      <w:pPr>
        <w:pStyle w:val="BodyText"/>
      </w:pPr>
      <w:r>
        <w:t xml:space="preserve">Analyst sentiment, however, is more mixed than the stock's momentum suggests. The consensus rating on Northern Trust stock is cautious, with a "Hold" rating overall — among 16 analysts covering the stock, three recommend a "Strong Buy," one has a "Moderate Buy" rating, nine give a "Hold" rating, two suggest a "Moderate Sell," and one indicates a "Strong Sell". Notably, Northern Trust is heading into earnings with an average analyst price target of $179.35, compared to the current share price of $182.78 — i.e., the stock is trading</w:t>
      </w:r>
      <w:r>
        <w:t xml:space="preserve"> </w:t>
      </w:r>
      <w:r>
        <w:rPr>
          <w:i/>
          <w:iCs/>
        </w:rPr>
        <w:t xml:space="preserve">above</w:t>
      </w:r>
      <w:r>
        <w:t xml:space="preserve"> </w:t>
      </w:r>
      <w:r>
        <w:t xml:space="preserve">the Street's average target, a setup that raises the bar for what "good enough" looks like tomorrow. That said, price targets have been moving up: Bank of America raised their price objective on Northern Trust from $190.00 to $200.00 and gave the stock a "buy" rating on Tuesday, July 7th, and BMO upgraded the stock to Outperform earlier in the year.</w:t>
      </w:r>
    </w:p>
    <w:bookmarkEnd w:id="9"/>
    <w:bookmarkStart w:id="10" w:name="Xf82a504f504403d82c272545f98930eebaf4934"/>
    <w:p>
      <w:pPr>
        <w:pStyle w:val="Heading2"/>
      </w:pPr>
      <w:r>
        <w:t xml:space="preserve">Q1 2026 Recap: The Quarter That Reset Expectations</w:t>
      </w:r>
    </w:p>
    <w:p>
      <w:pPr>
        <w:pStyle w:val="FirstParagraph"/>
      </w:pPr>
      <w:r>
        <w:t xml:space="preserve">Q1 was a standout print that reset the growth narrative for the stock. Northern Trust delivered:</w:t>
      </w:r>
    </w:p>
    <w:p>
      <w:pPr>
        <w:pStyle w:val="Compact"/>
        <w:numPr>
          <w:ilvl w:val="0"/>
          <w:numId w:val="1001"/>
        </w:numPr>
      </w:pPr>
      <w:r>
        <w:rPr>
          <w:b/>
          <w:bCs/>
        </w:rPr>
        <w:t xml:space="preserve">Net income of $525.5 million</w:t>
      </w:r>
      <w:r>
        <w:t xml:space="preserve">, EPS of $2.71 (vs. $1.90 a year ago, +43% YoY)</w:t>
      </w:r>
    </w:p>
    <w:p>
      <w:pPr>
        <w:pStyle w:val="Compact"/>
        <w:numPr>
          <w:ilvl w:val="0"/>
          <w:numId w:val="1001"/>
        </w:numPr>
      </w:pPr>
      <w:r>
        <w:rPr>
          <w:b/>
          <w:bCs/>
        </w:rPr>
        <w:t xml:space="preserve">Total revenue up 14% YoY</w:t>
      </w:r>
      <w:r>
        <w:t xml:space="preserve">, trust/investment/servicing fees up 11% to $1.34 billion, NII up 15% YoY to $661.6 million (a quarterly record)</w:t>
      </w:r>
    </w:p>
    <w:p>
      <w:pPr>
        <w:pStyle w:val="Compact"/>
        <w:numPr>
          <w:ilvl w:val="0"/>
          <w:numId w:val="1001"/>
        </w:numPr>
      </w:pPr>
      <w:r>
        <w:rPr>
          <w:b/>
          <w:bCs/>
        </w:rPr>
        <w:t xml:space="preserve">ROE of 17.4%</w:t>
      </w:r>
      <w:r>
        <w:t xml:space="preserve">, at the higher end of the firm's new medium-term target range</w:t>
      </w:r>
    </w:p>
    <w:p>
      <w:pPr>
        <w:pStyle w:val="Compact"/>
        <w:numPr>
          <w:ilvl w:val="0"/>
          <w:numId w:val="1001"/>
        </w:numPr>
      </w:pPr>
      <w:r>
        <w:rPr>
          <w:b/>
          <w:bCs/>
        </w:rPr>
        <w:t xml:space="preserve">Pre-tax margin of 32%</w:t>
      </w:r>
      <w:r>
        <w:t xml:space="preserve">, up ~490 bps YoY, with</w:t>
      </w:r>
      <w:r>
        <w:t xml:space="preserve"> </w:t>
      </w:r>
      <w:r>
        <w:rPr>
          <w:b/>
          <w:bCs/>
        </w:rPr>
        <w:t xml:space="preserve">700+ bps of positive operating leverage</w:t>
      </w:r>
    </w:p>
    <w:p>
      <w:pPr>
        <w:pStyle w:val="Compact"/>
        <w:numPr>
          <w:ilvl w:val="0"/>
          <w:numId w:val="1001"/>
        </w:numPr>
      </w:pPr>
      <w:r>
        <w:rPr>
          <w:b/>
          <w:bCs/>
        </w:rPr>
        <w:t xml:space="preserve">100% total payout ratio</w:t>
      </w:r>
      <w:r>
        <w:t xml:space="preserve"> </w:t>
      </w:r>
      <w:r>
        <w:t xml:space="preserve">— $510 million returned via $151 million in dividends and $359 million in buybacks</w:t>
      </w:r>
    </w:p>
    <w:p>
      <w:pPr>
        <w:pStyle w:val="Compact"/>
        <w:numPr>
          <w:ilvl w:val="0"/>
          <w:numId w:val="1001"/>
        </w:numPr>
      </w:pPr>
      <w:r>
        <w:t xml:space="preserve">Segment strength was broad: Asset Servicing pre-tax margin expanded 740 bps YoY to 28.3% on capital markets/FX strength, while Wealth Management trust fees grew low-double-digits (GFO and regions both strong), though its margin held flat at 37.1% as the firm reinvests in producer talent.</w:t>
      </w:r>
    </w:p>
    <w:p>
      <w:pPr>
        <w:pStyle w:val="FirstParagraph"/>
      </w:pPr>
      <w:r>
        <w:t xml:space="preserve">Management explicitly acknowledged this was a "very constructive" macro backdrop (elevated volatility, high equity levels, ample liquidity) contributing to some "lift," even as they emphasized structural/self-help drivers (productivity funding, AI deployment, organic growth initiatives) are also at work — a dynamic worth watching for signs of normalization in Q2.</w:t>
      </w:r>
    </w:p>
    <w:p>
      <w:pPr>
        <w:pStyle w:val="BodyText"/>
      </w:pPr>
      <w:r>
        <w:rPr>
          <w:b/>
          <w:bCs/>
        </w:rPr>
        <w:t xml:space="preserve">Guidance coming out of Q1 (the bar for tomorrow):</w:t>
      </w:r>
    </w:p>
    <w:p>
      <w:pPr>
        <w:pStyle w:val="Compact"/>
        <w:numPr>
          <w:ilvl w:val="0"/>
          <w:numId w:val="1002"/>
        </w:numPr>
      </w:pPr>
      <w:r>
        <w:t xml:space="preserve">FY2026 NII growth raised to</w:t>
      </w:r>
      <w:r>
        <w:t xml:space="preserve"> </w:t>
      </w:r>
      <w:r>
        <w:rPr>
          <w:b/>
          <w:bCs/>
        </w:rPr>
        <w:t xml:space="preserve">mid-to-high single digits</w:t>
      </w:r>
      <w:r>
        <w:t xml:space="preserve">, up from low-to-mid single digits previously</w:t>
      </w:r>
    </w:p>
    <w:p>
      <w:pPr>
        <w:pStyle w:val="Compact"/>
        <w:numPr>
          <w:ilvl w:val="0"/>
          <w:numId w:val="1002"/>
        </w:numPr>
      </w:pPr>
      <w:r>
        <w:t xml:space="preserve">Still expects</w:t>
      </w:r>
      <w:r>
        <w:t xml:space="preserve"> </w:t>
      </w:r>
      <w:r>
        <w:rPr>
          <w:b/>
          <w:bCs/>
        </w:rPr>
        <w:t xml:space="preserve">&gt;100 bps of positive operating leverage</w:t>
      </w:r>
      <w:r>
        <w:t xml:space="preserve"> </w:t>
      </w:r>
      <w:r>
        <w:t xml:space="preserve">for the full year (despite generating 700+ bps in Q1 — management called this conservatism/tough prior-year comps, not a change in expense philosophy)</w:t>
      </w:r>
    </w:p>
    <w:p>
      <w:pPr>
        <w:pStyle w:val="Compact"/>
        <w:numPr>
          <w:ilvl w:val="0"/>
          <w:numId w:val="1002"/>
        </w:numPr>
      </w:pPr>
      <w:r>
        <w:t xml:space="preserve">Still expects to</w:t>
      </w:r>
      <w:r>
        <w:t xml:space="preserve"> </w:t>
      </w:r>
      <w:r>
        <w:rPr>
          <w:b/>
          <w:bCs/>
        </w:rPr>
        <w:t xml:space="preserve">return at least 100% of earnings</w:t>
      </w:r>
      <w:r>
        <w:t xml:space="preserve"> </w:t>
      </w:r>
      <w:r>
        <w:t xml:space="preserve">to shareholders</w:t>
      </w:r>
    </w:p>
    <w:p>
      <w:pPr>
        <w:pStyle w:val="Compact"/>
        <w:numPr>
          <w:ilvl w:val="0"/>
          <w:numId w:val="1002"/>
        </w:numPr>
      </w:pPr>
      <w:r>
        <w:t xml:space="preserve">Effective tax rate guided to ~26-26.5% for 2026</w:t>
      </w:r>
    </w:p>
    <w:p>
      <w:pPr>
        <w:pStyle w:val="Compact"/>
        <w:numPr>
          <w:ilvl w:val="0"/>
          <w:numId w:val="1002"/>
        </w:numPr>
      </w:pPr>
      <w:r>
        <w:t xml:space="preserve">CFO Dave Fox noted the "direction of travel on expenses is down for the remainder of the year"</w:t>
      </w:r>
    </w:p>
    <w:bookmarkEnd w:id="10"/>
    <w:bookmarkStart w:id="11" w:name="X6843701f9a4fa9ee3f46bca10a359d8acaaefda"/>
    <w:p>
      <w:pPr>
        <w:pStyle w:val="Heading2"/>
      </w:pPr>
      <w:r>
        <w:t xml:space="preserve">What's Happened Since Q1 — Key Developments to Watch</w:t>
      </w:r>
    </w:p>
    <w:p>
      <w:pPr>
        <w:pStyle w:val="Compact"/>
        <w:numPr>
          <w:ilvl w:val="0"/>
          <w:numId w:val="1003"/>
        </w:numPr>
      </w:pPr>
      <w:r>
        <w:rPr>
          <w:b/>
          <w:bCs/>
        </w:rPr>
        <w:t xml:space="preserve">Dividend hike:</w:t>
      </w:r>
      <w:r>
        <w:t xml:space="preserve"> </w:t>
      </w:r>
      <w:r>
        <w:t xml:space="preserve">Following the Federal Reserve's 2026 stress test results, Northern Trust Corporation announced its intention to increase its quarterly common dividend 10% from 80 cents to 88 cents per share, subject to approval by its board of directors, reflecting confidence in capital generation and CCAR outcomes.</w:t>
      </w:r>
    </w:p>
    <w:p>
      <w:pPr>
        <w:pStyle w:val="Compact"/>
        <w:numPr>
          <w:ilvl w:val="0"/>
          <w:numId w:val="1003"/>
        </w:numPr>
      </w:pPr>
      <w:r>
        <w:rPr>
          <w:b/>
          <w:bCs/>
        </w:rPr>
        <w:t xml:space="preserve">New mandates:</w:t>
      </w:r>
      <w:r>
        <w:t xml:space="preserve"> </w:t>
      </w:r>
      <w:r>
        <w:t xml:space="preserve">The company secured new client mandates, including its appointment on June 22, 2026, to support TirNua Capital Partners' inaugural €340 million infrastructure fund, and on July 7, 2026, to provide administration, custody, and depositary services for Invesco's new Irish-domiciled index-tracking mutual fund range.</w:t>
      </w:r>
    </w:p>
    <w:p>
      <w:pPr>
        <w:pStyle w:val="Compact"/>
        <w:numPr>
          <w:ilvl w:val="0"/>
          <w:numId w:val="1003"/>
        </w:numPr>
      </w:pPr>
      <w:r>
        <w:rPr>
          <w:b/>
          <w:bCs/>
        </w:rPr>
        <w:t xml:space="preserve">European expansion:</w:t>
      </w:r>
      <w:r>
        <w:t xml:space="preserve"> </w:t>
      </w:r>
      <w:r>
        <w:t xml:space="preserve">Northern Trust received approval for a new EU banking branch in Ireland on June 22, 2026, enhancing its European asset servicing capabilities.</w:t>
      </w:r>
    </w:p>
    <w:p>
      <w:pPr>
        <w:pStyle w:val="Compact"/>
        <w:numPr>
          <w:ilvl w:val="0"/>
          <w:numId w:val="1003"/>
        </w:numPr>
      </w:pPr>
      <w:r>
        <w:rPr>
          <w:b/>
          <w:bCs/>
        </w:rPr>
        <w:t xml:space="preserve">Portfolio pruning:</w:t>
      </w:r>
      <w:r>
        <w:t xml:space="preserve"> </w:t>
      </w:r>
      <w:r>
        <w:t xml:space="preserve">The company agreed to divest its guardianship services business, enabling it to sharpen its focus on its higher-growth, fee-based franchises.</w:t>
      </w:r>
    </w:p>
    <w:p>
      <w:pPr>
        <w:pStyle w:val="Compact"/>
        <w:numPr>
          <w:ilvl w:val="0"/>
          <w:numId w:val="1003"/>
        </w:numPr>
      </w:pPr>
      <w:r>
        <w:rPr>
          <w:b/>
          <w:bCs/>
        </w:rPr>
        <w:t xml:space="preserve">Visa Class B proceeds:</w:t>
      </w:r>
      <w:r>
        <w:t xml:space="preserve"> </w:t>
      </w:r>
      <w:r>
        <w:t xml:space="preserve">Management flagged roughly $350 million in after-tax proceeds from the second tranche of Visa share monetization becoming available this year, with capital deployment plans (buybacks vs. other priorities) still undecided as of the Q1 call — worth pressing on tomorrow.</w:t>
      </w:r>
    </w:p>
    <w:p>
      <w:pPr>
        <w:pStyle w:val="Compact"/>
        <w:numPr>
          <w:ilvl w:val="0"/>
          <w:numId w:val="1003"/>
        </w:numPr>
      </w:pPr>
      <w:r>
        <w:rPr>
          <w:b/>
          <w:bCs/>
        </w:rPr>
        <w:t xml:space="preserve">Rate backdrop shift:</w:t>
      </w:r>
      <w:r>
        <w:t xml:space="preserve"> </w:t>
      </w:r>
      <w:r>
        <w:t xml:space="preserve">During fiscal Q2 2026, market sentiment moved from anticipated interest rate cuts to potential hikes, with some projections for the Fed Funds Rate target to reach 4.25% to 4.5% by December, up from current levels of 3.5% to 3.75% — a tailwind for NII if it plays out, though a reversal of the "lower rates" thesis embedded in some 2025 models.</w:t>
      </w:r>
    </w:p>
    <w:bookmarkEnd w:id="11"/>
    <w:bookmarkStart w:id="12" w:name="X50b51a6b6e66cd50626d5fb51535cc60ab10eda"/>
    <w:p>
      <w:pPr>
        <w:pStyle w:val="Heading2"/>
      </w:pPr>
      <w:r>
        <w:t xml:space="preserve">Peer Read-Through: A High Bar Has Already Been Set</w:t>
      </w:r>
    </w:p>
    <w:p>
      <w:pPr>
        <w:pStyle w:val="FirstParagraph"/>
      </w:pPr>
      <w:r>
        <w:t xml:space="preserve">Custody-bank peers reported strong Q2 results ahead of Northern Trust, and the sector has rallied hard into earnings:</w:t>
      </w:r>
    </w:p>
    <w:p>
      <w:pPr>
        <w:pStyle w:val="Compact"/>
        <w:numPr>
          <w:ilvl w:val="0"/>
          <w:numId w:val="1004"/>
        </w:numPr>
      </w:pPr>
      <w:r>
        <w:rPr>
          <w:b/>
          <w:bCs/>
        </w:rPr>
        <w:t xml:space="preserve">BNY (7/15):</w:t>
      </w:r>
      <w:r>
        <w:t xml:space="preserve"> </w:t>
      </w:r>
      <w:r>
        <w:t xml:space="preserve">Revenue reached $5.7 billion, up 13% year-over-year, while earnings per share climbed 27% to $2.45, with about 600 basis points of positive operating leverage, a 40% pretax margin, ROTCE of 31%, and management raising full-year NII growth guidance to 12-13%. BNY returned approximately $1.5 billion to shareholders, raising its quarterly dividend by 19%.</w:t>
      </w:r>
    </w:p>
    <w:p>
      <w:pPr>
        <w:pStyle w:val="Compact"/>
        <w:numPr>
          <w:ilvl w:val="0"/>
          <w:numId w:val="1004"/>
        </w:numPr>
      </w:pPr>
      <w:r>
        <w:rPr>
          <w:b/>
          <w:bCs/>
        </w:rPr>
        <w:t xml:space="preserve">State Street (7/16):</w:t>
      </w:r>
      <w:r>
        <w:t xml:space="preserve"> </w:t>
      </w:r>
      <w:r>
        <w:t xml:space="preserve">State Street posted impressive second-quarter results, achieving a record revenue of $4 billion, up 17% year-over-year, with management fees up 29% to $772 million and servicing fees reaching $1.5 billion, up 13%, and net inflows of $114 billion during the quarter prompting an upward revision to its revenue outlook. Notably, despite the beat, shares declined 1.41% in premarket trading — a reminder that "good" results aren't always good enough when expectations are this elevated.</w:t>
      </w:r>
    </w:p>
    <w:p>
      <w:pPr>
        <w:pStyle w:val="FirstParagraph"/>
      </w:pPr>
      <w:r>
        <w:t xml:space="preserve">Overall: BNY delivered year-on-year revenue growth of 13.3%, beating analysts' expectations by 5.4%, and State Street reported revenues up 16.7%, topping estimates by 3.8%, and there has been positive sentiment among investors in the custody bank segment, with share prices up 6.2% on average over the last month — though Northern Trust is up only 4.1% during the same time, suggesting NTRS has lagged its two largest peers slightly into this print, perhaps leaving a bit more room for a positive surprise.</w:t>
      </w:r>
    </w:p>
    <w:bookmarkEnd w:id="12"/>
    <w:bookmarkStart w:id="13" w:name="key-questions-for-the-call"/>
    <w:p>
      <w:pPr>
        <w:pStyle w:val="Heading2"/>
      </w:pPr>
      <w:r>
        <w:t xml:space="preserve">Key Questions for the Call</w:t>
      </w:r>
    </w:p>
    <w:p>
      <w:pPr>
        <w:pStyle w:val="Compact"/>
        <w:numPr>
          <w:ilvl w:val="0"/>
          <w:numId w:val="1005"/>
        </w:numPr>
      </w:pPr>
      <w:r>
        <w:rPr>
          <w:b/>
          <w:bCs/>
        </w:rPr>
        <w:t xml:space="preserve">NII trajectory:</w:t>
      </w:r>
      <w:r>
        <w:t xml:space="preserve"> </w:t>
      </w:r>
      <w:r>
        <w:t xml:space="preserve">Did the mid-to-high single digit NII growth guide prove conservative given the shift toward "higher-for-longer" or even rate-hike expectations? How much of the ~$9 billion Q1 deposit surge (of which management said only $4-5 billion would be retained) actually stuck around in Q2?</w:t>
      </w:r>
    </w:p>
    <w:p>
      <w:pPr>
        <w:pStyle w:val="Compact"/>
        <w:numPr>
          <w:ilvl w:val="0"/>
          <w:numId w:val="1005"/>
        </w:numPr>
      </w:pPr>
      <w:r>
        <w:rPr>
          <w:b/>
          <w:bCs/>
        </w:rPr>
        <w:t xml:space="preserve">Margin sustainability:</w:t>
      </w:r>
      <w:r>
        <w:t xml:space="preserve"> </w:t>
      </w:r>
      <w:r>
        <w:t xml:space="preserve">Was Q1's 700+ bps of operating leverage and 32% pretax margin a one-quarter high-water mark tied to unusually strong capital markets/FX volatility, or is the business durably re-rating higher? Watch Asset Servicing margin trend (28.3% in Q1, medium-term target still being built toward) versus Wealth Management margin (flat at 37.1%, pressured by producer-hiring investment).</w:t>
      </w:r>
    </w:p>
    <w:p>
      <w:pPr>
        <w:pStyle w:val="Compact"/>
        <w:numPr>
          <w:ilvl w:val="0"/>
          <w:numId w:val="1005"/>
        </w:numPr>
      </w:pPr>
      <w:r>
        <w:rPr>
          <w:b/>
          <w:bCs/>
        </w:rPr>
        <w:t xml:space="preserve">Organic growth cadence:</w:t>
      </w:r>
      <w:r>
        <w:t xml:space="preserve"> </w:t>
      </w:r>
      <w:r>
        <w:t xml:space="preserve">Progress against the ~3%+ organic fee growth target across all three businesses (Wealth, Asset Servicing, Asset Management), and early traction from the wealth producer hiring push (targeting high-single-digit increases in revenue-generating roles).</w:t>
      </w:r>
    </w:p>
    <w:p>
      <w:pPr>
        <w:pStyle w:val="Compact"/>
        <w:numPr>
          <w:ilvl w:val="0"/>
          <w:numId w:val="1005"/>
        </w:numPr>
      </w:pPr>
      <w:r>
        <w:rPr>
          <w:b/>
          <w:bCs/>
        </w:rPr>
        <w:t xml:space="preserve">Capital deployment:</w:t>
      </w:r>
      <w:r>
        <w:t xml:space="preserve"> </w:t>
      </w:r>
      <w:r>
        <w:t xml:space="preserve">Update on Visa Class B proceeds usage, pace of buybacks following the 10% dividend increase, and early color on Basel III endgame impact (previously characterized as a likely net RWA positive).</w:t>
      </w:r>
    </w:p>
    <w:p>
      <w:pPr>
        <w:pStyle w:val="Compact"/>
        <w:numPr>
          <w:ilvl w:val="0"/>
          <w:numId w:val="1005"/>
        </w:numPr>
      </w:pPr>
      <w:r>
        <w:rPr>
          <w:b/>
          <w:bCs/>
        </w:rPr>
        <w:t xml:space="preserve">Expense discipline:</w:t>
      </w:r>
      <w:r>
        <w:t xml:space="preserve"> </w:t>
      </w:r>
      <w:r>
        <w:t xml:space="preserve">Confirmation that expense growth decelerates in H2 as previously flagged, and how AI-driven productivity initiatives (One Wealth Assistant, agentic "infinite scalability" efforts) are tracking against funding new investment.</w:t>
      </w:r>
    </w:p>
    <w:p>
      <w:pPr>
        <w:pStyle w:val="Compact"/>
        <w:numPr>
          <w:ilvl w:val="0"/>
          <w:numId w:val="1005"/>
        </w:numPr>
      </w:pPr>
      <w:r>
        <w:rPr>
          <w:b/>
          <w:bCs/>
        </w:rPr>
        <w:t xml:space="preserve">Credit quality:</w:t>
      </w:r>
      <w:r>
        <w:t xml:space="preserve"> </w:t>
      </w:r>
      <w:r>
        <w:t xml:space="preserve">Any change to the pristine credit trends (negative provisions, low nonaccruals) given macro uncertainty flagged around tariffs, geopolitics, and slowing global growth.</w:t>
      </w:r>
    </w:p>
    <w:bookmarkEnd w:id="13"/>
    <w:bookmarkStart w:id="14" w:name="bottom-line"/>
    <w:p>
      <w:pPr>
        <w:pStyle w:val="Heading2"/>
      </w:pPr>
      <w:r>
        <w:t xml:space="preserve">Bottom Line</w:t>
      </w:r>
    </w:p>
    <w:p>
      <w:pPr>
        <w:pStyle w:val="FirstParagraph"/>
      </w:pPr>
      <w:r>
        <w:t xml:space="preserve">Northern Trust enters Q2 earnings with real operating momentum, a raised NII guide, a fresh dividend hike, and a string of new mandates and geographic expansion — but also with a stock that has run hard into the print, trading above the average analyst price target, and a "Hold"-leaning analyst base despite recent upgrades. Peers BNY and State Street both beat estimates comfortably and raised guidance, yet State Street's stock still fell on the news, underscoring how much good news may already be priced into the custody-bank trade. The key swing factors for NTRS tomorrow are likely to be (1) whether NII and capital-markets/FX revenue can stay elevated without last quarter's unusual deposit boost, and (2) whether management reaffirms or raises full-year operating leverage and NII guidance given the stronger-than-expected read-through from peers.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2026-07-22T00:19:14Z</dcterms:created>
  <dcterms:modified xsi:type="dcterms:W3CDTF">2026-07-22T00:19:14Z</dcterms:modified>
</cp:coreProperties>
</file>

<file path=docProps/custom.xml><?xml version="1.0" encoding="utf-8"?>
<Properties xmlns="http://schemas.openxmlformats.org/officeDocument/2006/custom-properties" xmlns:vt="http://schemas.openxmlformats.org/officeDocument/2006/docPropsVTypes"/>
</file>