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ntrs-q2-2026-earnings-preview"/>
    <w:p>
      <w:pPr>
        <w:pStyle w:val="Heading1"/>
      </w:pPr>
      <w:r>
        <w:t xml:space="preserve">NTRS Q2 2026 Earnings Preview</w:t>
      </w:r>
    </w:p>
    <w:p>
      <w:pPr>
        <w:pStyle w:val="BlockText"/>
      </w:pPr>
      <w:r>
        <w:rPr>
          <w:b/>
          <w:bCs/>
        </w:rPr>
        <w:t xml:space="preserve">Timing clarification:</w:t>
      </w:r>
      <w:r>
        <w:t xml:space="preserve"> </w:t>
      </w:r>
      <w:r>
        <w:t xml:space="preserve">Northern Trust is scheduled to release results</w:t>
      </w:r>
      <w:r>
        <w:t xml:space="preserve"> </w:t>
      </w:r>
      <w:r>
        <w:rPr>
          <w:b/>
          <w:bCs/>
        </w:rPr>
        <w:t xml:space="preserve">before the market opens on Wednesday, July 22, 2026</w:t>
      </w:r>
      <w:r>
        <w:t xml:space="preserve">, followed by its earnings call at</w:t>
      </w:r>
      <w:r>
        <w:t xml:space="preserve"> </w:t>
      </w:r>
      <w:r>
        <w:rPr>
          <w:b/>
          <w:bCs/>
        </w:rPr>
        <w:t xml:space="preserve">8:00 a.m. CT</w:t>
      </w:r>
      <w:r>
        <w:t xml:space="preserve">. The specified event date is today, not tomorrow. (</w:t>
      </w:r>
      <w:hyperlink r:id="rId9">
        <w:r>
          <w:rPr>
            <w:rStyle w:val="Hyperlink"/>
          </w:rPr>
          <w:t xml:space="preserve">northerntrust.com</w:t>
        </w:r>
      </w:hyperlink>
      <w:r>
        <w:t xml:space="preserve">)</w:t>
      </w:r>
    </w:p>
    <w:bookmarkStart w:id="11" w:name="investment-view-going-into-the-report"/>
    <w:p>
      <w:pPr>
        <w:pStyle w:val="Heading2"/>
      </w:pPr>
      <w:r>
        <w:t xml:space="preserve">Investment view going into the report</w:t>
      </w:r>
    </w:p>
    <w:p>
      <w:pPr>
        <w:pStyle w:val="FirstParagraph"/>
      </w:pPr>
      <w:r>
        <w:t xml:space="preserve">Northern Trust enters Q2 with excellent momentum—and a substantially higher bar.</w:t>
      </w:r>
    </w:p>
    <w:p>
      <w:pPr>
        <w:pStyle w:val="BodyText"/>
      </w:pPr>
      <w:r>
        <w:t xml:space="preserve">Q1 produced</w:t>
      </w:r>
      <w:r>
        <w:t xml:space="preserve"> </w:t>
      </w:r>
      <w:r>
        <w:rPr>
          <w:b/>
          <w:bCs/>
        </w:rPr>
        <w:t xml:space="preserve">$2.71 of EPS, 14% revenue growth, 740 basis points of operating leverage, a 32% pretax margin, and a 17.4% return on common equity</w:t>
      </w:r>
      <w:r>
        <w:t xml:space="preserve">. The central question is no longer whether performance is improving. It is how much of that improvement is structural rather than the product of unusually favorable deposits, market levels, and trading activity. (</w:t>
      </w:r>
      <w:hyperlink r:id="rId10">
        <w:r>
          <w:rPr>
            <w:rStyle w:val="Hyperlink"/>
          </w:rPr>
          <w:t xml:space="preserve">northerntrust.com</w:t>
        </w:r>
      </w:hyperlink>
      <w:r>
        <w:t xml:space="preserve">)</w:t>
      </w:r>
    </w:p>
    <w:p>
      <w:pPr>
        <w:pStyle w:val="BodyText"/>
      </w:pPr>
      <w:r>
        <w:t xml:space="preserve">The stock closed around</w:t>
      </w:r>
      <w:r>
        <w:t xml:space="preserve"> </w:t>
      </w:r>
      <w:r>
        <w:rPr>
          <w:b/>
          <w:bCs/>
        </w:rPr>
        <w:t xml:space="preserve">$185 on July 21</w:t>
      </w:r>
      <w:r>
        <w:t xml:space="preserve">, up approximately</w:t>
      </w:r>
      <w:r>
        <w:t xml:space="preserve"> </w:t>
      </w:r>
      <w:r>
        <w:rPr>
          <w:b/>
          <w:bCs/>
        </w:rPr>
        <w:t xml:space="preserve">33% in 2026</w:t>
      </w:r>
      <w:r>
        <w:t xml:space="preserve">. At that price, NTRS trades near</w:t>
      </w:r>
      <w:r>
        <w:t xml:space="preserve"> </w:t>
      </w:r>
      <w:r>
        <w:rPr>
          <w:b/>
          <w:bCs/>
        </w:rPr>
        <w:t xml:space="preserve">16.4 times the current $11.29 full-year EPS consensus</w:t>
      </w:r>
      <w:r>
        <w:t xml:space="preserve"> </w:t>
      </w:r>
      <w:r>
        <w:t xml:space="preserve">and roughly</w:t>
      </w:r>
      <w:r>
        <w:t xml:space="preserve"> </w:t>
      </w:r>
      <w:r>
        <w:rPr>
          <w:b/>
          <w:bCs/>
        </w:rPr>
        <w:t xml:space="preserve">2.8 times Q1 book value</w:t>
      </w:r>
      <w:r>
        <w:t xml:space="preserve">. Investors are therefore likely to demand more than a modest EPS beat: they will want durable fee growth, credible expense discipline, and guidance supporting the recent margin expansion.</w:t>
      </w:r>
    </w:p>
    <w:bookmarkEnd w:id="11"/>
    <w:bookmarkStart w:id="13" w:name="expectations"/>
    <w:p>
      <w:pPr>
        <w:pStyle w:val="Heading2"/>
      </w:pPr>
      <w:r>
        <w:t xml:space="preserve">Expectations</w:t>
      </w:r>
    </w:p>
    <w:p>
      <w:pPr>
        <w:pStyle w:val="FirstParagraph"/>
      </w:pPr>
      <w:r>
        <w:t xml:space="preserve">Consensus is somewhat noisy. Barchart shows adjusted EPS of</w:t>
      </w:r>
      <w:r>
        <w:t xml:space="preserve"> </w:t>
      </w:r>
      <w:r>
        <w:rPr>
          <w:b/>
          <w:bCs/>
        </w:rPr>
        <w:t xml:space="preserve">$2.68</w:t>
      </w:r>
      <w:r>
        <w:t xml:space="preserve">, based on five estimates ranging from $2.63 to $2.75, while another aggregator puts consensus at $2.71. The $2.68 figure implies approximately</w:t>
      </w:r>
      <w:r>
        <w:t xml:space="preserve"> </w:t>
      </w:r>
      <w:r>
        <w:rPr>
          <w:b/>
          <w:bCs/>
        </w:rPr>
        <w:t xml:space="preserve">26% year-over-year growth</w:t>
      </w:r>
      <w:r>
        <w:t xml:space="preserve">, but a slight sequential decline from Q1’s $2.71. (</w:t>
      </w:r>
      <w:hyperlink r:id="rId12">
        <w:r>
          <w:rPr>
            <w:rStyle w:val="Hyperlink"/>
          </w:rPr>
          <w:t xml:space="preserve">barchart.com</w:t>
        </w:r>
      </w:hyperlink>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w:t>
            </w:r>
          </w:p>
        </w:tc>
        <w:tc>
          <w:tcPr/>
          <w:p>
            <w:pPr>
              <w:pStyle w:val="Compact"/>
              <w:jc w:val="right"/>
            </w:pPr>
            <w:r>
              <w:t xml:space="preserve">Reasonable Q2 marker</w:t>
            </w:r>
          </w:p>
        </w:tc>
      </w:tr>
      <w:tr>
        <w:tc>
          <w:tcPr/>
          <w:p>
            <w:pPr>
              <w:pStyle w:val="Compact"/>
            </w:pPr>
            <w:r>
              <w:t xml:space="preserve">Adjusted EPS</w:t>
            </w:r>
          </w:p>
        </w:tc>
        <w:tc>
          <w:tcPr/>
          <w:p>
            <w:pPr>
              <w:pStyle w:val="Compact"/>
              <w:jc w:val="right"/>
            </w:pPr>
            <w:r>
              <w:t xml:space="preserve">$2.71</w:t>
            </w:r>
          </w:p>
        </w:tc>
        <w:tc>
          <w:tcPr/>
          <w:p>
            <w:pPr>
              <w:pStyle w:val="Compact"/>
              <w:jc w:val="right"/>
            </w:pPr>
            <w:r>
              <w:t xml:space="preserve">$2.13</w:t>
            </w:r>
          </w:p>
        </w:tc>
        <w:tc>
          <w:tcPr/>
          <w:p>
            <w:pPr>
              <w:pStyle w:val="Compact"/>
              <w:jc w:val="right"/>
            </w:pPr>
            <m:oMath>
              <m:r>
                <m:t>2.65</m:t>
              </m:r>
              <m:r>
                <m:rPr>
                  <m:sty m:val="p"/>
                </m:rPr>
                <m:t>–</m:t>
              </m:r>
            </m:oMath>
            <w:r>
              <w:t xml:space="preserve">2.80</w:t>
            </w:r>
          </w:p>
        </w:tc>
      </w:tr>
      <w:tr>
        <w:tc>
          <w:tcPr/>
          <w:p>
            <w:pPr>
              <w:pStyle w:val="Compact"/>
            </w:pPr>
            <w:r>
              <w:t xml:space="preserve">Trust and servicing fees</w:t>
            </w:r>
          </w:p>
        </w:tc>
        <w:tc>
          <w:tcPr/>
          <w:p>
            <w:pPr>
              <w:pStyle w:val="Compact"/>
              <w:jc w:val="right"/>
            </w:pPr>
            <w:r>
              <w:t xml:space="preserve">$1.341B</w:t>
            </w:r>
          </w:p>
        </w:tc>
        <w:tc>
          <w:tcPr/>
          <w:p>
            <w:pPr>
              <w:pStyle w:val="Compact"/>
              <w:jc w:val="right"/>
            </w:pPr>
            <w:r>
              <w:t xml:space="preserve">$1.231B</w:t>
            </w:r>
          </w:p>
        </w:tc>
        <w:tc>
          <w:tcPr/>
          <w:p>
            <w:pPr>
              <w:pStyle w:val="Compact"/>
              <w:jc w:val="right"/>
            </w:pPr>
            <m:oMath>
              <m:r>
                <m:t>1.36</m:t>
              </m:r>
              <m:r>
                <m:t>B</m:t>
              </m:r>
              <m:r>
                <m:rPr>
                  <m:sty m:val="p"/>
                </m:rPr>
                <m:t>–</m:t>
              </m:r>
            </m:oMath>
            <w:r>
              <w:t xml:space="preserve">1.39B</w:t>
            </w:r>
          </w:p>
        </w:tc>
      </w:tr>
      <w:tr>
        <w:tc>
          <w:tcPr/>
          <w:p>
            <w:pPr>
              <w:pStyle w:val="Compact"/>
            </w:pPr>
            <w:r>
              <w:t xml:space="preserve">FTE net interest income</w:t>
            </w:r>
          </w:p>
        </w:tc>
        <w:tc>
          <w:tcPr/>
          <w:p>
            <w:pPr>
              <w:pStyle w:val="Compact"/>
              <w:jc w:val="right"/>
            </w:pPr>
            <w:r>
              <w:t xml:space="preserve">$662M</w:t>
            </w:r>
          </w:p>
        </w:tc>
        <w:tc>
          <w:tcPr/>
          <w:p>
            <w:pPr>
              <w:pStyle w:val="Compact"/>
              <w:jc w:val="right"/>
            </w:pPr>
            <w:r>
              <w:t xml:space="preserve">$615M</w:t>
            </w:r>
          </w:p>
        </w:tc>
        <w:tc>
          <w:tcPr/>
          <w:p>
            <w:pPr>
              <w:pStyle w:val="Compact"/>
              <w:jc w:val="right"/>
            </w:pPr>
            <m:oMath>
              <m:r>
                <m:t>650</m:t>
              </m:r>
              <m:r>
                <m:t>M</m:t>
              </m:r>
              <m:r>
                <m:rPr>
                  <m:sty m:val="p"/>
                </m:rPr>
                <m:t>–</m:t>
              </m:r>
            </m:oMath>
            <w:r>
              <w:t xml:space="preserve">665M</w:t>
            </w:r>
          </w:p>
        </w:tc>
      </w:tr>
      <w:tr>
        <w:tc>
          <w:tcPr/>
          <w:p>
            <w:pPr>
              <w:pStyle w:val="Compact"/>
            </w:pPr>
            <w:r>
              <w:t xml:space="preserve">Noninterest expense</w:t>
            </w:r>
          </w:p>
        </w:tc>
        <w:tc>
          <w:tcPr/>
          <w:p>
            <w:pPr>
              <w:pStyle w:val="Compact"/>
              <w:jc w:val="right"/>
            </w:pPr>
            <w:r>
              <w:t xml:space="preserve">$1.508B</w:t>
            </w:r>
          </w:p>
        </w:tc>
        <w:tc>
          <w:tcPr/>
          <w:p>
            <w:pPr>
              <w:pStyle w:val="Compact"/>
              <w:jc w:val="right"/>
            </w:pPr>
            <w:r>
              <w:t xml:space="preserve">$1.417B</w:t>
            </w:r>
          </w:p>
        </w:tc>
        <w:tc>
          <w:tcPr/>
          <w:p>
            <w:pPr>
              <w:pStyle w:val="Compact"/>
              <w:jc w:val="right"/>
            </w:pPr>
            <w:r>
              <w:t xml:space="preserve">At or below ~$1.50B</w:t>
            </w:r>
          </w:p>
        </w:tc>
      </w:tr>
      <w:tr>
        <w:tc>
          <w:tcPr/>
          <w:p>
            <w:pPr>
              <w:pStyle w:val="Compact"/>
            </w:pPr>
            <w:r>
              <w:t xml:space="preserve">FTE pretax margin</w:t>
            </w:r>
          </w:p>
        </w:tc>
        <w:tc>
          <w:tcPr/>
          <w:p>
            <w:pPr>
              <w:pStyle w:val="Compact"/>
              <w:jc w:val="right"/>
            </w:pPr>
            <w:r>
              <w:t xml:space="preserve">32.0%</w:t>
            </w:r>
          </w:p>
        </w:tc>
        <w:tc>
          <w:tcPr/>
          <w:p>
            <w:pPr>
              <w:pStyle w:val="Compact"/>
              <w:jc w:val="right"/>
            </w:pPr>
            <w:r>
              <w:t xml:space="preserve">28.4%</w:t>
            </w:r>
          </w:p>
        </w:tc>
        <w:tc>
          <w:tcPr/>
          <w:p>
            <w:pPr>
              <w:pStyle w:val="Compact"/>
              <w:jc w:val="right"/>
            </w:pPr>
            <w:r>
              <w:t xml:space="preserve">Approximately 31%–33%</w:t>
            </w:r>
          </w:p>
        </w:tc>
      </w:tr>
      <w:tr>
        <w:tc>
          <w:tcPr/>
          <w:p>
            <w:pPr>
              <w:pStyle w:val="Compact"/>
            </w:pPr>
            <w:r>
              <w:t xml:space="preserve">ROE</w:t>
            </w:r>
          </w:p>
        </w:tc>
        <w:tc>
          <w:tcPr/>
          <w:p>
            <w:pPr>
              <w:pStyle w:val="Compact"/>
              <w:jc w:val="right"/>
            </w:pPr>
            <w:r>
              <w:t xml:space="preserve">17.4%</w:t>
            </w:r>
          </w:p>
        </w:tc>
        <w:tc>
          <w:tcPr/>
          <w:p>
            <w:pPr>
              <w:pStyle w:val="Compact"/>
              <w:jc w:val="right"/>
            </w:pPr>
            <w:r>
              <w:t xml:space="preserve">14.2%</w:t>
            </w:r>
          </w:p>
        </w:tc>
        <w:tc>
          <w:tcPr/>
          <w:p>
            <w:pPr>
              <w:pStyle w:val="Compact"/>
              <w:jc w:val="right"/>
            </w:pPr>
            <w:r>
              <w:t xml:space="preserve">Mid-to-high teens</w:t>
            </w:r>
          </w:p>
        </w:tc>
      </w:tr>
    </w:tbl>
    <w:p>
      <w:pPr>
        <w:pStyle w:val="BodyText"/>
      </w:pPr>
      <w:r>
        <w:t xml:space="preserve">These are analytical markers rather than published consensus estimates.</w:t>
      </w:r>
    </w:p>
    <w:p>
      <w:r>
        <w:pict>
          <v:rect style="width:0;height:1.5pt" o:hralign="center" o:hrstd="t" o:hr="t"/>
        </w:pict>
      </w:r>
    </w:p>
    <w:bookmarkEnd w:id="13"/>
    <w:bookmarkStart w:id="14" w:name="X94ed0a96c5107bf4ab5ff60713c417bc8ef74f7"/>
    <w:p>
      <w:pPr>
        <w:pStyle w:val="Heading2"/>
      </w:pPr>
      <w:r>
        <w:t xml:space="preserve">1. Trust-fee growth should remain the core positive</w:t>
      </w:r>
    </w:p>
    <w:p>
      <w:pPr>
        <w:pStyle w:val="FirstParagraph"/>
      </w:pPr>
      <w:r>
        <w:t xml:space="preserve">Trust, investment, and servicing fees are the largest—and most important—component of Northern Trust’s revenue. They increased</w:t>
      </w:r>
      <w:r>
        <w:t xml:space="preserve"> </w:t>
      </w:r>
      <w:r>
        <w:rPr>
          <w:b/>
          <w:bCs/>
        </w:rPr>
        <w:t xml:space="preserve">11% year over year and 3% sequentially in Q1</w:t>
      </w:r>
      <w:r>
        <w:t xml:space="preserve">, with comparable growth across Asset Servicing and Wealth Management.</w:t>
      </w:r>
    </w:p>
    <w:p>
      <w:pPr>
        <w:pStyle w:val="BodyText"/>
      </w:pPr>
      <w:r>
        <w:t xml:space="preserve">The Q2 market backdrop was constructive: SPY finished June approximately</w:t>
      </w:r>
      <w:r>
        <w:t xml:space="preserve"> </w:t>
      </w:r>
      <w:r>
        <w:rPr>
          <w:b/>
          <w:bCs/>
        </w:rPr>
        <w:t xml:space="preserve">15% above March 31</w:t>
      </w:r>
      <w:r>
        <w:t xml:space="preserve">, while ACWI was up roughly</w:t>
      </w:r>
      <w:r>
        <w:t xml:space="preserve"> </w:t>
      </w:r>
      <w:r>
        <w:rPr>
          <w:b/>
          <w:bCs/>
        </w:rPr>
        <w:t xml:space="preserve">13%</w:t>
      </w:r>
      <w:r>
        <w:t xml:space="preserve"> </w:t>
      </w:r>
      <w:r>
        <w:t xml:space="preserve">over the same period. Because Northern Trust’s fees are based on combinations of one-month- and one-quarter-lagged asset values, the benefit will not be perfectly contemporaneous, but the direction should be favorable.</w:t>
      </w:r>
    </w:p>
    <w:p>
      <w:pPr>
        <w:pStyle w:val="BodyText"/>
      </w:pPr>
      <w:r>
        <w:t xml:space="preserve">A good result would be:</w:t>
      </w:r>
    </w:p>
    <w:p>
      <w:pPr>
        <w:pStyle w:val="Compact"/>
        <w:numPr>
          <w:ilvl w:val="0"/>
          <w:numId w:val="1001"/>
        </w:numPr>
      </w:pPr>
      <w:r>
        <w:t xml:space="preserve">Consolidated trust fees around</w:t>
      </w:r>
      <w:r>
        <w:t xml:space="preserve"> </w:t>
      </w:r>
      <w:r>
        <w:rPr>
          <w:b/>
          <w:bCs/>
        </w:rPr>
        <w:t xml:space="preserve">$1.36 billion to $1.39 billion</w:t>
      </w:r>
      <w:r>
        <w:t xml:space="preserve">.</w:t>
      </w:r>
    </w:p>
    <w:p>
      <w:pPr>
        <w:pStyle w:val="Compact"/>
        <w:numPr>
          <w:ilvl w:val="0"/>
          <w:numId w:val="1001"/>
        </w:numPr>
      </w:pPr>
      <w:r>
        <w:t xml:space="preserve">Continued double-digit growth in Wealth Management.</w:t>
      </w:r>
    </w:p>
    <w:p>
      <w:pPr>
        <w:pStyle w:val="Compact"/>
        <w:numPr>
          <w:ilvl w:val="0"/>
          <w:numId w:val="1001"/>
        </w:numPr>
      </w:pPr>
      <w:r>
        <w:t xml:space="preserve">Evidence that Asset Servicing growth includes net new business, not just market appreciation and currency.</w:t>
      </w:r>
    </w:p>
    <w:p>
      <w:pPr>
        <w:pStyle w:val="Compact"/>
        <w:numPr>
          <w:ilvl w:val="0"/>
          <w:numId w:val="1001"/>
        </w:numPr>
      </w:pPr>
      <w:r>
        <w:t xml:space="preserve">Organic growth moving closer to management’s approximately</w:t>
      </w:r>
      <w:r>
        <w:t xml:space="preserve"> </w:t>
      </w:r>
      <w:r>
        <w:rPr>
          <w:b/>
          <w:bCs/>
        </w:rPr>
        <w:t xml:space="preserve">3% medium-term aspiration</w:t>
      </w:r>
      <w:r>
        <w:t xml:space="preserve">.</w:t>
      </w:r>
    </w:p>
    <w:p>
      <w:pPr>
        <w:pStyle w:val="FirstParagraph"/>
      </w:pPr>
      <w:r>
        <w:t xml:space="preserve">The key disclosure will be the distinction between</w:t>
      </w:r>
      <w:r>
        <w:t xml:space="preserve"> </w:t>
      </w:r>
      <w:r>
        <w:rPr>
          <w:b/>
          <w:bCs/>
        </w:rPr>
        <w:t xml:space="preserve">market-driven growth and organic growth</w:t>
      </w:r>
      <w:r>
        <w:t xml:space="preserve">. Strong asset values can temporarily disguise weak flows; investors should listen for mandates won, mandates lost, onboarding schedules, and annualized fee revenue from new business.</w:t>
      </w:r>
    </w:p>
    <w:bookmarkEnd w:id="14"/>
    <w:bookmarkStart w:id="15" w:name="X41dfc65e4db68812d102d1ccf5a937e6cdc3e0f"/>
    <w:p>
      <w:pPr>
        <w:pStyle w:val="Heading2"/>
      </w:pPr>
      <w:r>
        <w:t xml:space="preserve">2. NII can remain strong even if Q1 deposits partially reverse</w:t>
      </w:r>
    </w:p>
    <w:p>
      <w:pPr>
        <w:pStyle w:val="FirstParagraph"/>
      </w:pPr>
      <w:r>
        <w:t xml:space="preserve">Q1 FTE net interest income reached a record</w:t>
      </w:r>
      <w:r>
        <w:t xml:space="preserve"> </w:t>
      </w:r>
      <w:r>
        <w:rPr>
          <w:b/>
          <w:bCs/>
        </w:rPr>
        <w:t xml:space="preserve">$662 million</w:t>
      </w:r>
      <w:r>
        <w:t xml:space="preserve">, up 15% year over year. The result benefited from higher deposits, securities repricing, deposit-pricing actions, and the absence of further U.S. rate cuts.</w:t>
      </w:r>
    </w:p>
    <w:p>
      <w:pPr>
        <w:pStyle w:val="BodyText"/>
      </w:pPr>
      <w:r>
        <w:t xml:space="preserve">However, management said Q1 included several unusually large institutional deposits. Of the roughly $9 billion sequential increase, it expected to retain approximately $4 billion to $5 billion. That makes Q2 deposit normalization the most important swing factor for NII.</w:t>
      </w:r>
    </w:p>
    <w:p>
      <w:pPr>
        <w:pStyle w:val="BodyText"/>
      </w:pPr>
      <w:r>
        <w:t xml:space="preserve">The company raised its 2026 NII outlook in Q1 to</w:t>
      </w:r>
      <w:r>
        <w:t xml:space="preserve"> </w:t>
      </w:r>
      <w:r>
        <w:rPr>
          <w:b/>
          <w:bCs/>
        </w:rPr>
        <w:t xml:space="preserve">mid- to high-single-digit growth</w:t>
      </w:r>
      <w:r>
        <w:t xml:space="preserve">, from low- to mid-single digits. Based on 2025 FTE NII of approximately</w:t>
      </w:r>
      <w:r>
        <w:t xml:space="preserve"> </w:t>
      </w:r>
      <m:oMath>
        <m:r>
          <m:t>2.44</m:t>
        </m:r>
        <m:r>
          <m:t>b</m:t>
        </m:r>
        <m:r>
          <m:t>i</m:t>
        </m:r>
        <m:r>
          <m:t>l</m:t>
        </m:r>
        <m:r>
          <m:t>l</m:t>
        </m:r>
        <m:r>
          <m:t>i</m:t>
        </m:r>
        <m:r>
          <m:t>o</m:t>
        </m:r>
        <m:r>
          <m:t>n</m:t>
        </m:r>
        <m:r>
          <m:rPr>
            <m:sty m:val="p"/>
          </m:rPr>
          <m:t>,</m:t>
        </m:r>
        <m:r>
          <m:t>t</m:t>
        </m:r>
        <m:r>
          <m:t>h</m:t>
        </m:r>
        <m:r>
          <m:t>a</m:t>
        </m:r>
        <m:r>
          <m:t>t</m:t>
        </m:r>
        <m:r>
          <m:t>o</m:t>
        </m:r>
        <m:r>
          <m:t>u</m:t>
        </m:r>
        <m:r>
          <m:t>t</m:t>
        </m:r>
        <m:r>
          <m:t>l</m:t>
        </m:r>
        <m:r>
          <m:t>o</m:t>
        </m:r>
        <m:r>
          <m:t>o</m:t>
        </m:r>
        <m:r>
          <m:t>k</m:t>
        </m:r>
        <m:r>
          <m:t>i</m:t>
        </m:r>
        <m:r>
          <m:t>m</m:t>
        </m:r>
        <m:r>
          <m:t>p</m:t>
        </m:r>
        <m:r>
          <m:t>l</m:t>
        </m:r>
        <m:r>
          <m:t>i</m:t>
        </m:r>
        <m:r>
          <m:t>e</m:t>
        </m:r>
        <m:r>
          <m:t>s</m:t>
        </m:r>
        <m:r>
          <m:t>a</m:t>
        </m:r>
        <m:r>
          <m:t>b</m:t>
        </m:r>
        <m:r>
          <m:t>o</m:t>
        </m:r>
        <m:r>
          <m:t>u</m:t>
        </m:r>
        <m:r>
          <m:t>t</m:t>
        </m:r>
        <m:r>
          <m:rPr>
            <m:sty m:val="p"/>
          </m:rPr>
          <m:t>*</m:t>
        </m:r>
        <m:r>
          <m:rPr>
            <m:sty m:val="p"/>
          </m:rPr>
          <m:t>*</m:t>
        </m:r>
      </m:oMath>
      <w:r>
        <w:t xml:space="preserve">2.59 billion to $2.64 billion** for 2026. After Q1, the average quarterly requirement for the rest of the year is roughly $641 million to $658 million.</w:t>
      </w:r>
    </w:p>
    <w:p>
      <w:pPr>
        <w:pStyle w:val="BodyText"/>
      </w:pPr>
      <w:r>
        <w:t xml:space="preserve">Accordingly:</w:t>
      </w:r>
    </w:p>
    <w:p>
      <w:pPr>
        <w:pStyle w:val="Compact"/>
        <w:numPr>
          <w:ilvl w:val="0"/>
          <w:numId w:val="1002"/>
        </w:numPr>
      </w:pPr>
      <w:r>
        <w:rPr>
          <w:b/>
          <w:bCs/>
        </w:rPr>
        <w:t xml:space="preserve">$650 million or better</w:t>
      </w:r>
      <w:r>
        <w:t xml:space="preserve"> </w:t>
      </w:r>
      <w:r>
        <w:t xml:space="preserve">would keep the company comfortably on track.</w:t>
      </w:r>
    </w:p>
    <w:p>
      <w:pPr>
        <w:pStyle w:val="Compact"/>
        <w:numPr>
          <w:ilvl w:val="0"/>
          <w:numId w:val="1002"/>
        </w:numPr>
      </w:pPr>
      <w:r>
        <w:t xml:space="preserve">Results near the Q1 record would be especially encouraging given deposit normalization.</w:t>
      </w:r>
    </w:p>
    <w:p>
      <w:pPr>
        <w:pStyle w:val="Compact"/>
        <w:numPr>
          <w:ilvl w:val="0"/>
          <w:numId w:val="1002"/>
        </w:numPr>
      </w:pPr>
      <w:r>
        <w:t xml:space="preserve">A figure below approximately $640 million could raise questions about deposit durability or funding costs.</w:t>
      </w:r>
    </w:p>
    <w:p>
      <w:pPr>
        <w:pStyle w:val="Compact"/>
        <w:numPr>
          <w:ilvl w:val="0"/>
          <w:numId w:val="1002"/>
        </w:numPr>
      </w:pPr>
      <w:r>
        <w:t xml:space="preserve">A guidance increase would be one of the clearest upside catalysts.</w:t>
      </w:r>
    </w:p>
    <w:p>
      <w:pPr>
        <w:pStyle w:val="FirstParagraph"/>
      </w:pPr>
      <w:r>
        <w:t xml:space="preserve">Investors should not overreact to the reported net interest margin alone. Large, short-duration institutional deposits can depress margin while still adding net interest income. The combination of</w:t>
      </w:r>
      <w:r>
        <w:t xml:space="preserve"> </w:t>
      </w:r>
      <w:r>
        <w:rPr>
          <w:b/>
          <w:bCs/>
        </w:rPr>
        <w:t xml:space="preserve">average deposits, deposit mix, funding costs, and absolute NII</w:t>
      </w:r>
      <w:r>
        <w:t xml:space="preserve"> </w:t>
      </w:r>
      <w:r>
        <w:t xml:space="preserve">matters more.</w:t>
      </w:r>
    </w:p>
    <w:bookmarkEnd w:id="15"/>
    <w:bookmarkStart w:id="17" w:name="Xc2bb243e9bf59f89ed88fb8b2c98ae595420ec0"/>
    <w:p>
      <w:pPr>
        <w:pStyle w:val="Heading2"/>
      </w:pPr>
      <w:r>
        <w:t xml:space="preserve">3. Expense discipline is the report’s most important quality test</w:t>
      </w:r>
    </w:p>
    <w:p>
      <w:pPr>
        <w:pStyle w:val="FirstParagraph"/>
      </w:pPr>
      <w:r>
        <w:t xml:space="preserve">Q1 expenses increased 6% year over year to $1.508 billion, driven largely by compensation, incentives, currency, and technology spending. Management nevertheless generated substantial operating leverage because revenue rose much faster.</w:t>
      </w:r>
    </w:p>
    <w:p>
      <w:pPr>
        <w:pStyle w:val="BodyText"/>
      </w:pPr>
      <w:r>
        <w:t xml:space="preserve">The CFO said the direction of expenses should be lower over the balance of the year. That makes the Q2 expense print particularly important.</w:t>
      </w:r>
    </w:p>
    <w:p>
      <w:pPr>
        <w:pStyle w:val="BodyText"/>
      </w:pPr>
      <w:r>
        <w:t xml:space="preserve">Watch for:</w:t>
      </w:r>
    </w:p>
    <w:p>
      <w:pPr>
        <w:pStyle w:val="Compact"/>
        <w:numPr>
          <w:ilvl w:val="0"/>
          <w:numId w:val="1003"/>
        </w:numPr>
      </w:pPr>
      <w:r>
        <w:t xml:space="preserve">Sequential expense reduction from Q1.</w:t>
      </w:r>
    </w:p>
    <w:p>
      <w:pPr>
        <w:pStyle w:val="Compact"/>
        <w:numPr>
          <w:ilvl w:val="0"/>
          <w:numId w:val="1003"/>
        </w:numPr>
      </w:pPr>
      <w:r>
        <w:t xml:space="preserve">Compensation normalization after seasonal Q1 items.</w:t>
      </w:r>
    </w:p>
    <w:p>
      <w:pPr>
        <w:pStyle w:val="Compact"/>
        <w:numPr>
          <w:ilvl w:val="0"/>
          <w:numId w:val="1003"/>
        </w:numPr>
      </w:pPr>
      <w:r>
        <w:t xml:space="preserve">Continued growth in software expense, but without an unexpected acceleration.</w:t>
      </w:r>
    </w:p>
    <w:p>
      <w:pPr>
        <w:pStyle w:val="Compact"/>
        <w:numPr>
          <w:ilvl w:val="0"/>
          <w:numId w:val="1003"/>
        </w:numPr>
      </w:pPr>
      <w:r>
        <w:t xml:space="preserve">The cost of expanding revenue-producing roles in Wealth Management.</w:t>
      </w:r>
    </w:p>
    <w:p>
      <w:pPr>
        <w:pStyle w:val="Compact"/>
        <w:numPr>
          <w:ilvl w:val="0"/>
          <w:numId w:val="1003"/>
        </w:numPr>
      </w:pPr>
      <w:r>
        <w:t xml:space="preserve">Productivity savings funding AI and growth investments rather than simply adding to spending.</w:t>
      </w:r>
    </w:p>
    <w:p>
      <w:pPr>
        <w:pStyle w:val="FirstParagraph"/>
      </w:pPr>
      <w:r>
        <w:t xml:space="preserve">Northern Trust’s official medium-term targets include a</w:t>
      </w:r>
      <w:r>
        <w:t xml:space="preserve"> </w:t>
      </w:r>
      <w:r>
        <w:rPr>
          <w:b/>
          <w:bCs/>
        </w:rPr>
        <w:t xml:space="preserve">33% pretax margin</w:t>
      </w:r>
      <w:r>
        <w:t xml:space="preserve">, a</w:t>
      </w:r>
      <w:r>
        <w:t xml:space="preserve"> </w:t>
      </w:r>
      <w:r>
        <w:rPr>
          <w:b/>
          <w:bCs/>
        </w:rPr>
        <w:t xml:space="preserve">105%–110% expense-to-trust-fee ratio</w:t>
      </w:r>
      <w:r>
        <w:t xml:space="preserve">, and a</w:t>
      </w:r>
      <w:r>
        <w:t xml:space="preserve"> </w:t>
      </w:r>
      <w:r>
        <w:rPr>
          <w:b/>
          <w:bCs/>
        </w:rPr>
        <w:t xml:space="preserve">mid-teens ROE</w:t>
      </w:r>
      <w:r>
        <w:t xml:space="preserve">. Q1 was already close to or above much of that framework, but management acknowledged that the macro backdrop was unusually supportive. (</w:t>
      </w:r>
      <w:hyperlink r:id="rId16">
        <w:r>
          <w:rPr>
            <w:rStyle w:val="Hyperlink"/>
          </w:rPr>
          <w:t xml:space="preserve">northerntrust.com</w:t>
        </w:r>
      </w:hyperlink>
      <w:r>
        <w:t xml:space="preserve">)</w:t>
      </w:r>
    </w:p>
    <w:p>
      <w:pPr>
        <w:pStyle w:val="BodyText"/>
      </w:pPr>
      <w:r>
        <w:t xml:space="preserve">A Q2 pretax margin above 31% would support the argument that recent improvement is durable. A fall below 30%, absent a clear notable item, would strengthen the view that Q1 represented cyclical over-earning.</w:t>
      </w:r>
    </w:p>
    <w:bookmarkEnd w:id="17"/>
    <w:bookmarkStart w:id="18" w:name="X7d6b5ede1ae09e277a68299a29177bfd9e92914"/>
    <w:p>
      <w:pPr>
        <w:pStyle w:val="Heading2"/>
      </w:pPr>
      <w:r>
        <w:t xml:space="preserve">4. Capital-markets income is an upside opportunity—and a difficult comparison</w:t>
      </w:r>
    </w:p>
    <w:p>
      <w:pPr>
        <w:pStyle w:val="FirstParagraph"/>
      </w:pPr>
      <w:r>
        <w:t xml:space="preserve">Q1 other noninterest income increased 33% year over year to $210 million, including:</w:t>
      </w:r>
    </w:p>
    <w:p>
      <w:pPr>
        <w:pStyle w:val="Compact"/>
        <w:numPr>
          <w:ilvl w:val="0"/>
          <w:numId w:val="1004"/>
        </w:numPr>
      </w:pPr>
      <w:r>
        <w:t xml:space="preserve">A 49% increase in foreign-exchange trading income.</w:t>
      </w:r>
    </w:p>
    <w:p>
      <w:pPr>
        <w:pStyle w:val="Compact"/>
        <w:numPr>
          <w:ilvl w:val="0"/>
          <w:numId w:val="1004"/>
        </w:numPr>
      </w:pPr>
      <w:r>
        <w:t xml:space="preserve">A 33% increase in securities commissions and trading income.</w:t>
      </w:r>
    </w:p>
    <w:p>
      <w:pPr>
        <w:pStyle w:val="Compact"/>
        <w:numPr>
          <w:ilvl w:val="0"/>
          <w:numId w:val="1004"/>
        </w:numPr>
      </w:pPr>
      <w:r>
        <w:t xml:space="preserve">Growth in outsourced trading activity.</w:t>
      </w:r>
    </w:p>
    <w:p>
      <w:pPr>
        <w:pStyle w:val="FirstParagraph"/>
      </w:pPr>
      <w:r>
        <w:t xml:space="preserve">Q2 remained volatile enough to support client activity, but Q1’s result is a difficult sequential comparison. A retreat in FX and trading revenue would not necessarily damage the thesis if trust fees, NII, and expenses perform well.</w:t>
      </w:r>
    </w:p>
    <w:p>
      <w:pPr>
        <w:pStyle w:val="BodyText"/>
      </w:pPr>
      <w:r>
        <w:t xml:space="preserve">Investors should distinguish between:</w:t>
      </w:r>
    </w:p>
    <w:p>
      <w:pPr>
        <w:pStyle w:val="Compact"/>
        <w:numPr>
          <w:ilvl w:val="0"/>
          <w:numId w:val="1005"/>
        </w:numPr>
      </w:pPr>
      <w:r>
        <w:rPr>
          <w:b/>
          <w:bCs/>
        </w:rPr>
        <w:t xml:space="preserve">Recurring client-driven FX and brokerage activity</w:t>
      </w:r>
      <w:r>
        <w:t xml:space="preserve">, which adds value to the franchise; and</w:t>
      </w:r>
    </w:p>
    <w:p>
      <w:pPr>
        <w:pStyle w:val="Compact"/>
        <w:numPr>
          <w:ilvl w:val="0"/>
          <w:numId w:val="1005"/>
        </w:numPr>
      </w:pPr>
      <w:r>
        <w:t xml:space="preserve">Treasury, Visa-related, compensation-plan, or other mark-to-market effects, which can make reported revenue less comparable.</w:t>
      </w:r>
    </w:p>
    <w:p>
      <w:pPr>
        <w:pStyle w:val="FirstParagraph"/>
      </w:pPr>
      <w:r>
        <w:t xml:space="preserve">A clean core result is more valuable than a large headline beat driven by nonrecurring income.</w:t>
      </w:r>
    </w:p>
    <w:bookmarkEnd w:id="18"/>
    <w:bookmarkStart w:id="19" w:name="X66311a96abdaac831d703fafc2ef5a6a62ba279"/>
    <w:p>
      <w:pPr>
        <w:pStyle w:val="Heading2"/>
      </w:pPr>
      <w:r>
        <w:t xml:space="preserve">5. Wealth growth versus near-term margin investment</w:t>
      </w:r>
    </w:p>
    <w:p>
      <w:pPr>
        <w:pStyle w:val="FirstParagraph"/>
      </w:pPr>
      <w:r>
        <w:t xml:space="preserve">Wealth Management generated Q1 trust-fee growth of 11%, but its pretax margin remained at 37.1% as Northern Trust reinvested in growth. Management plans to increase revenue-generating roles by a high-single-digit percentage during 2026 and is expanding family-office, alternatives, digital-acquisition, and center-of-influence capabilities.</w:t>
      </w:r>
    </w:p>
    <w:p>
      <w:pPr>
        <w:pStyle w:val="BodyText"/>
      </w:pPr>
      <w:r>
        <w:t xml:space="preserve">The trade-off is straightforward:</w:t>
      </w:r>
    </w:p>
    <w:p>
      <w:pPr>
        <w:pStyle w:val="Compact"/>
        <w:numPr>
          <w:ilvl w:val="0"/>
          <w:numId w:val="1006"/>
        </w:numPr>
      </w:pPr>
      <w:r>
        <w:rPr>
          <w:b/>
          <w:bCs/>
        </w:rPr>
        <w:t xml:space="preserve">Bullish:</w:t>
      </w:r>
      <w:r>
        <w:t xml:space="preserve"> </w:t>
      </w:r>
      <w:r>
        <w:t xml:space="preserve">New advisers and products accelerate organic growth, particularly in the regional wealth business.</w:t>
      </w:r>
    </w:p>
    <w:p>
      <w:pPr>
        <w:pStyle w:val="Compact"/>
        <w:numPr>
          <w:ilvl w:val="0"/>
          <w:numId w:val="1006"/>
        </w:numPr>
      </w:pPr>
      <w:r>
        <w:rPr>
          <w:b/>
          <w:bCs/>
        </w:rPr>
        <w:t xml:space="preserve">Bearish:</w:t>
      </w:r>
      <w:r>
        <w:t xml:space="preserve"> </w:t>
      </w:r>
      <w:r>
        <w:t xml:space="preserve">Costs arrive before revenue, pressuring margins without a visible improvement in flows or new-business production.</w:t>
      </w:r>
    </w:p>
    <w:p>
      <w:pPr>
        <w:pStyle w:val="FirstParagraph"/>
      </w:pPr>
      <w:r>
        <w:t xml:space="preserve">Global Family Office remains the strongest part of the wealth franchise. Investors should look for continued above-average growth, international expansion, and broader adoption of investment-management products by existing custody and reporting clients.</w:t>
      </w:r>
    </w:p>
    <w:bookmarkEnd w:id="19"/>
    <w:bookmarkStart w:id="20" w:name="Xa13121c6a8d3acff477dd277a16c2a376db6325"/>
    <w:p>
      <w:pPr>
        <w:pStyle w:val="Heading2"/>
      </w:pPr>
      <w:r>
        <w:t xml:space="preserve">6. Asset Servicing must demonstrate structural margin improvement</w:t>
      </w:r>
    </w:p>
    <w:p>
      <w:pPr>
        <w:pStyle w:val="FirstParagraph"/>
      </w:pPr>
      <w:r>
        <w:t xml:space="preserve">Asset Servicing’s Q1 pretax margin reached</w:t>
      </w:r>
      <w:r>
        <w:t xml:space="preserve"> </w:t>
      </w:r>
      <w:r>
        <w:rPr>
          <w:b/>
          <w:bCs/>
        </w:rPr>
        <w:t xml:space="preserve">28.3%</w:t>
      </w:r>
      <w:r>
        <w:t xml:space="preserve">, up 740 basis points year over year. That was partly driven by elevated deposits and capital-markets activity, but management argues that improved business selection, operating efficiency, private-markets capabilities, and more scalable mandates are also contributing.</w:t>
      </w:r>
    </w:p>
    <w:p>
      <w:pPr>
        <w:pStyle w:val="BodyText"/>
      </w:pPr>
      <w:r>
        <w:t xml:space="preserve">The best evidence of structural improvement would be:</w:t>
      </w:r>
    </w:p>
    <w:p>
      <w:pPr>
        <w:pStyle w:val="Compact"/>
        <w:numPr>
          <w:ilvl w:val="0"/>
          <w:numId w:val="1007"/>
        </w:numPr>
      </w:pPr>
      <w:r>
        <w:t xml:space="preserve">Margin holding near or above 27% despite lower temporary deposits.</w:t>
      </w:r>
    </w:p>
    <w:p>
      <w:pPr>
        <w:pStyle w:val="Compact"/>
        <w:numPr>
          <w:ilvl w:val="0"/>
          <w:numId w:val="1007"/>
        </w:numPr>
      </w:pPr>
      <w:r>
        <w:t xml:space="preserve">Continued mandate wins among asset owners and alternatives managers.</w:t>
      </w:r>
    </w:p>
    <w:p>
      <w:pPr>
        <w:pStyle w:val="Compact"/>
        <w:numPr>
          <w:ilvl w:val="0"/>
          <w:numId w:val="1007"/>
        </w:numPr>
      </w:pPr>
      <w:r>
        <w:t xml:space="preserve">Positive organic fee growth.</w:t>
      </w:r>
    </w:p>
    <w:p>
      <w:pPr>
        <w:pStyle w:val="Compact"/>
        <w:numPr>
          <w:ilvl w:val="0"/>
          <w:numId w:val="1007"/>
        </w:numPr>
      </w:pPr>
      <w:r>
        <w:t xml:space="preserve">Expense growth materially below revenue growth.</w:t>
      </w:r>
    </w:p>
    <w:p>
      <w:pPr>
        <w:pStyle w:val="Compact"/>
        <w:numPr>
          <w:ilvl w:val="0"/>
          <w:numId w:val="1007"/>
        </w:numPr>
      </w:pPr>
      <w:r>
        <w:t xml:space="preserve">Continued expansion in outsourced trading, private markets, and digital-asset servicing.</w:t>
      </w:r>
    </w:p>
    <w:p>
      <w:pPr>
        <w:pStyle w:val="FirstParagraph"/>
      </w:pPr>
      <w:r>
        <w:t xml:space="preserve">If the margin drops sharply as deposits normalize, investors may conclude that much of Q1’s improvement was cyclical.</w:t>
      </w:r>
    </w:p>
    <w:bookmarkEnd w:id="20"/>
    <w:bookmarkStart w:id="22" w:name="X8215d3c86da7844def421a39041ca0c45ad805e"/>
    <w:p>
      <w:pPr>
        <w:pStyle w:val="Heading2"/>
      </w:pPr>
      <w:r>
        <w:t xml:space="preserve">7. Capital return remains supportive, but repurchase economics have changed</w:t>
      </w:r>
    </w:p>
    <w:p>
      <w:pPr>
        <w:pStyle w:val="FirstParagraph"/>
      </w:pPr>
      <w:r>
        <w:t xml:space="preserve">Northern Trust returned 100% of Q1 earnings to shareholders, including $359 million of repurchases at an average price of approximately $144. The stock is now materially above that level, reducing the immediate accretion from buying back the same dollar amount of shares.</w:t>
      </w:r>
    </w:p>
    <w:p>
      <w:pPr>
        <w:pStyle w:val="BodyText"/>
      </w:pPr>
      <w:r>
        <w:t xml:space="preserve">The Federal Reserve’s stress test left Northern Trust with the minimum</w:t>
      </w:r>
      <w:r>
        <w:t xml:space="preserve"> </w:t>
      </w:r>
      <w:r>
        <w:rPr>
          <w:b/>
          <w:bCs/>
        </w:rPr>
        <w:t xml:space="preserve">2.5% stress capital buffer</w:t>
      </w:r>
      <w:r>
        <w:t xml:space="preserve">, corresponding to a 7% minimum CET1 requirement. The company intends to propose a</w:t>
      </w:r>
      <w:r>
        <w:t xml:space="preserve"> </w:t>
      </w:r>
      <w:r>
        <w:rPr>
          <w:b/>
          <w:bCs/>
        </w:rPr>
        <w:t xml:space="preserve">10% dividend increase</w:t>
      </w:r>
      <w:r>
        <w:t xml:space="preserve">, from $0.80 to $0.88 per quarter, subject to board approval. (</w:t>
      </w:r>
      <w:hyperlink r:id="rId21">
        <w:r>
          <w:rPr>
            <w:rStyle w:val="Hyperlink"/>
          </w:rPr>
          <w:t xml:space="preserve">northerntrust.com</w:t>
        </w:r>
      </w:hyperlink>
      <w:r>
        <w:t xml:space="preserve">)</w:t>
      </w:r>
    </w:p>
    <w:p>
      <w:pPr>
        <w:pStyle w:val="BodyText"/>
      </w:pPr>
      <w:r>
        <w:t xml:space="preserve">Questions for the call include:</w:t>
      </w:r>
    </w:p>
    <w:p>
      <w:pPr>
        <w:pStyle w:val="Compact"/>
        <w:numPr>
          <w:ilvl w:val="0"/>
          <w:numId w:val="1008"/>
        </w:numPr>
      </w:pPr>
      <w:r>
        <w:t xml:space="preserve">Does management still expect to return at least 100% of 2026 earnings?</w:t>
      </w:r>
    </w:p>
    <w:p>
      <w:pPr>
        <w:pStyle w:val="Compact"/>
        <w:numPr>
          <w:ilvl w:val="0"/>
          <w:numId w:val="1008"/>
        </w:numPr>
      </w:pPr>
      <w:r>
        <w:t xml:space="preserve">How opportunistic will repurchases be around the current share price?</w:t>
      </w:r>
    </w:p>
    <w:p>
      <w:pPr>
        <w:pStyle w:val="Compact"/>
        <w:numPr>
          <w:ilvl w:val="0"/>
          <w:numId w:val="1008"/>
        </w:numPr>
      </w:pPr>
      <w:r>
        <w:t xml:space="preserve">Has the board approved the expected $0.88 dividend?</w:t>
      </w:r>
    </w:p>
    <w:p>
      <w:pPr>
        <w:pStyle w:val="Compact"/>
        <w:numPr>
          <w:ilvl w:val="0"/>
          <w:numId w:val="1008"/>
        </w:numPr>
      </w:pPr>
      <w:r>
        <w:t xml:space="preserve">How will management deploy potential proceeds from the remaining Visa position?</w:t>
      </w:r>
    </w:p>
    <w:p>
      <w:pPr>
        <w:pStyle w:val="Compact"/>
        <w:numPr>
          <w:ilvl w:val="0"/>
          <w:numId w:val="1008"/>
        </w:numPr>
      </w:pPr>
      <w:r>
        <w:t xml:space="preserve">Can CET1 remain around 12% while the balance sheet and capital-markets activity grow?</w:t>
      </w:r>
    </w:p>
    <w:p>
      <w:pPr>
        <w:pStyle w:val="FirstParagraph"/>
      </w:pPr>
      <w:r>
        <w:t xml:space="preserve">Credit should remain a secondary issue. Northern Trust’s lending book is concentrated in investment-grade institutional borrowers and secured wealth loans, and Q1 nonaccrual loans were only 0.13% of loans.</w:t>
      </w:r>
    </w:p>
    <w:p>
      <w:r>
        <w:pict>
          <v:rect style="width:0;height:1.5pt" o:hralign="center" o:hrstd="t" o:hr="t"/>
        </w:pict>
      </w:r>
    </w:p>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09"/>
        </w:numPr>
      </w:pPr>
      <w:r>
        <w:t xml:space="preserve">EPS above approximately</w:t>
      </w:r>
      <w:r>
        <w:t xml:space="preserve"> </w:t>
      </w:r>
      <w:r>
        <w:rPr>
          <w:b/>
          <w:bCs/>
        </w:rPr>
        <w:t xml:space="preserve">$2.80</w:t>
      </w:r>
      <w:r>
        <w:t xml:space="preserve"> </w:t>
      </w:r>
      <w:r>
        <w:t xml:space="preserve">on core operations.</w:t>
      </w:r>
    </w:p>
    <w:p>
      <w:pPr>
        <w:pStyle w:val="Compact"/>
        <w:numPr>
          <w:ilvl w:val="0"/>
          <w:numId w:val="1009"/>
        </w:numPr>
      </w:pPr>
      <w:r>
        <w:t xml:space="preserve">Trust fees grow at least 10% year over year.</w:t>
      </w:r>
    </w:p>
    <w:p>
      <w:pPr>
        <w:pStyle w:val="Compact"/>
        <w:numPr>
          <w:ilvl w:val="0"/>
          <w:numId w:val="1009"/>
        </w:numPr>
      </w:pPr>
      <w:r>
        <w:t xml:space="preserve">FTE NII remains near or above $660 million.</w:t>
      </w:r>
    </w:p>
    <w:p>
      <w:pPr>
        <w:pStyle w:val="Compact"/>
        <w:numPr>
          <w:ilvl w:val="0"/>
          <w:numId w:val="1009"/>
        </w:numPr>
      </w:pPr>
      <w:r>
        <w:t xml:space="preserve">Expenses decline sequentially.</w:t>
      </w:r>
    </w:p>
    <w:p>
      <w:pPr>
        <w:pStyle w:val="Compact"/>
        <w:numPr>
          <w:ilvl w:val="0"/>
          <w:numId w:val="1009"/>
        </w:numPr>
      </w:pPr>
      <w:r>
        <w:t xml:space="preserve">Pretax margin holds around 32% or better.</w:t>
      </w:r>
    </w:p>
    <w:p>
      <w:pPr>
        <w:pStyle w:val="Compact"/>
        <w:numPr>
          <w:ilvl w:val="0"/>
          <w:numId w:val="1009"/>
        </w:numPr>
      </w:pPr>
      <w:r>
        <w:t xml:space="preserve">Management raises NII guidance or provides a more confident full-year outlook.</w:t>
      </w:r>
    </w:p>
    <w:p>
      <w:pPr>
        <w:pStyle w:val="Compact"/>
        <w:numPr>
          <w:ilvl w:val="0"/>
          <w:numId w:val="1009"/>
        </w:numPr>
      </w:pPr>
      <w:r>
        <w:t xml:space="preserve">Buybacks and the proposed dividend increase reinforce the capital-return story.</w:t>
      </w:r>
    </w:p>
    <w:p>
      <w:pPr>
        <w:pStyle w:val="FirstParagraph"/>
      </w:pPr>
      <w:r>
        <w:rPr>
          <w:b/>
          <w:bCs/>
        </w:rPr>
        <w:t xml:space="preserve">Likely interpretation:</w:t>
      </w:r>
      <w:r>
        <w:t xml:space="preserve"> </w:t>
      </w:r>
      <w:r>
        <w:t xml:space="preserve">Q1 was not a peak; Northern Trust is structurally capable of generating a low-30% margin and mid-to-high-teens ROE.</w:t>
      </w:r>
    </w:p>
    <w:bookmarkEnd w:id="23"/>
    <w:bookmarkStart w:id="24" w:name="base-case"/>
    <w:p>
      <w:pPr>
        <w:pStyle w:val="Heading3"/>
      </w:pPr>
      <w:r>
        <w:t xml:space="preserve">Base case</w:t>
      </w:r>
    </w:p>
    <w:p>
      <w:pPr>
        <w:pStyle w:val="Compact"/>
        <w:numPr>
          <w:ilvl w:val="0"/>
          <w:numId w:val="1010"/>
        </w:numPr>
      </w:pPr>
      <w:r>
        <w:t xml:space="preserve">EPS around</w:t>
      </w:r>
      <w:r>
        <w:t xml:space="preserve"> </w:t>
      </w:r>
      <m:oMath>
        <m:r>
          <m:t>2.65</m:t>
        </m:r>
        <m:r>
          <m:rPr>
            <m:sty m:val="p"/>
          </m:rPr>
          <m:t>–</m:t>
        </m:r>
      </m:oMath>
      <w:r>
        <w:rPr>
          <w:b/>
          <w:bCs/>
        </w:rPr>
        <w:t xml:space="preserve">2.80</w:t>
      </w:r>
      <w:r>
        <w:t xml:space="preserve">.</w:t>
      </w:r>
    </w:p>
    <w:p>
      <w:pPr>
        <w:pStyle w:val="Compact"/>
        <w:numPr>
          <w:ilvl w:val="0"/>
          <w:numId w:val="1010"/>
        </w:numPr>
      </w:pPr>
      <w:r>
        <w:t xml:space="preserve">Solid market-driven trust-fee growth, but organic growth remains around 1%–2%.</w:t>
      </w:r>
    </w:p>
    <w:p>
      <w:pPr>
        <w:pStyle w:val="Compact"/>
        <w:numPr>
          <w:ilvl w:val="0"/>
          <w:numId w:val="1010"/>
        </w:numPr>
      </w:pPr>
      <w:r>
        <w:t xml:space="preserve">NII slips modestly as temporary deposits leave.</w:t>
      </w:r>
    </w:p>
    <w:p>
      <w:pPr>
        <w:pStyle w:val="Compact"/>
        <w:numPr>
          <w:ilvl w:val="0"/>
          <w:numId w:val="1010"/>
        </w:numPr>
      </w:pPr>
      <w:r>
        <w:t xml:space="preserve">Expenses normalize but remain elevated due to growth investments.</w:t>
      </w:r>
    </w:p>
    <w:p>
      <w:pPr>
        <w:pStyle w:val="Compact"/>
        <w:numPr>
          <w:ilvl w:val="0"/>
          <w:numId w:val="1010"/>
        </w:numPr>
      </w:pPr>
      <w:r>
        <w:t xml:space="preserve">Pretax margin lands around 31%.</w:t>
      </w:r>
    </w:p>
    <w:p>
      <w:pPr>
        <w:pStyle w:val="Compact"/>
        <w:numPr>
          <w:ilvl w:val="0"/>
          <w:numId w:val="1010"/>
        </w:numPr>
      </w:pPr>
      <w:r>
        <w:t xml:space="preserve">Full-year guidance is reiterated.</w:t>
      </w:r>
    </w:p>
    <w:p>
      <w:pPr>
        <w:pStyle w:val="FirstParagraph"/>
      </w:pPr>
      <w:r>
        <w:rPr>
          <w:b/>
          <w:bCs/>
        </w:rPr>
        <w:t xml:space="preserve">Likely interpretation:</w:t>
      </w:r>
      <w:r>
        <w:t xml:space="preserve"> </w:t>
      </w:r>
      <w:r>
        <w:t xml:space="preserve">Fundamentals remain favorable, but much of the improvement is already reflected in the share price.</w:t>
      </w:r>
    </w:p>
    <w:bookmarkEnd w:id="24"/>
    <w:bookmarkStart w:id="25" w:name="bear-case"/>
    <w:p>
      <w:pPr>
        <w:pStyle w:val="Heading3"/>
      </w:pPr>
      <w:r>
        <w:t xml:space="preserve">Bear case</w:t>
      </w:r>
    </w:p>
    <w:p>
      <w:pPr>
        <w:pStyle w:val="Compact"/>
        <w:numPr>
          <w:ilvl w:val="0"/>
          <w:numId w:val="1011"/>
        </w:numPr>
      </w:pPr>
      <w:r>
        <w:t xml:space="preserve">EPS below approximately</w:t>
      </w:r>
      <w:r>
        <w:t xml:space="preserve"> </w:t>
      </w:r>
      <w:r>
        <w:rPr>
          <w:b/>
          <w:bCs/>
        </w:rPr>
        <w:t xml:space="preserve">$2.55</w:t>
      </w:r>
      <w:r>
        <w:t xml:space="preserve">.</w:t>
      </w:r>
    </w:p>
    <w:p>
      <w:pPr>
        <w:pStyle w:val="Compact"/>
        <w:numPr>
          <w:ilvl w:val="0"/>
          <w:numId w:val="1011"/>
        </w:numPr>
      </w:pPr>
      <w:r>
        <w:t xml:space="preserve">Trust fees underperform the strong market backdrop.</w:t>
      </w:r>
    </w:p>
    <w:p>
      <w:pPr>
        <w:pStyle w:val="Compact"/>
        <w:numPr>
          <w:ilvl w:val="0"/>
          <w:numId w:val="1011"/>
        </w:numPr>
      </w:pPr>
      <w:r>
        <w:t xml:space="preserve">NII falls below $640 million or guidance is reduced.</w:t>
      </w:r>
    </w:p>
    <w:p>
      <w:pPr>
        <w:pStyle w:val="Compact"/>
        <w:numPr>
          <w:ilvl w:val="0"/>
          <w:numId w:val="1011"/>
        </w:numPr>
      </w:pPr>
      <w:r>
        <w:t xml:space="preserve">Expense growth remains near 6% without comparable revenue growth.</w:t>
      </w:r>
    </w:p>
    <w:p>
      <w:pPr>
        <w:pStyle w:val="Compact"/>
        <w:numPr>
          <w:ilvl w:val="0"/>
          <w:numId w:val="1011"/>
        </w:numPr>
      </w:pPr>
      <w:r>
        <w:t xml:space="preserve">Asset Servicing margin retreats below 27%.</w:t>
      </w:r>
    </w:p>
    <w:p>
      <w:pPr>
        <w:pStyle w:val="Compact"/>
        <w:numPr>
          <w:ilvl w:val="0"/>
          <w:numId w:val="1011"/>
        </w:numPr>
      </w:pPr>
      <w:r>
        <w:t xml:space="preserve">Capital return slows materially at the higher stock price.</w:t>
      </w:r>
    </w:p>
    <w:p>
      <w:pPr>
        <w:pStyle w:val="FirstParagraph"/>
      </w:pPr>
      <w:r>
        <w:rPr>
          <w:b/>
          <w:bCs/>
        </w:rPr>
        <w:t xml:space="preserve">Likely interpretation:</w:t>
      </w:r>
      <w:r>
        <w:t xml:space="preserve"> </w:t>
      </w:r>
      <w:r>
        <w:t xml:space="preserve">Q1 benefited more from temporary deposits, volatility, and market conditions than from sustainable franchise improvement.</w:t>
      </w:r>
    </w:p>
    <w:bookmarkEnd w:id="25"/>
    <w:bookmarkEnd w:id="26"/>
    <w:bookmarkStart w:id="27" w:name="bottom-line"/>
    <w:p>
      <w:pPr>
        <w:pStyle w:val="Heading2"/>
      </w:pPr>
      <w:r>
        <w:t xml:space="preserve">Bottom line</w:t>
      </w:r>
    </w:p>
    <w:p>
      <w:pPr>
        <w:pStyle w:val="FirstParagraph"/>
      </w:pPr>
      <w:r>
        <w:t xml:space="preserve">NTRS is positioned for another strong quarter, supported by favorable asset markets, healthy client activity, securities repricing, and disciplined capital management. But the stock’s rally means the result will be judged on</w:t>
      </w:r>
      <w:r>
        <w:t xml:space="preserve"> </w:t>
      </w:r>
      <w:r>
        <w:rPr>
          <w:b/>
          <w:bCs/>
        </w:rPr>
        <w:t xml:space="preserve">quality and durability</w:t>
      </w:r>
      <w:r>
        <w:t xml:space="preserve">, not simply whether EPS exceeds roughly $2.68.</w:t>
      </w:r>
    </w:p>
    <w:p>
      <w:pPr>
        <w:pStyle w:val="BodyText"/>
      </w:pPr>
      <w:r>
        <w:t xml:space="preserve">The three numbers that matter most are:</w:t>
      </w:r>
    </w:p>
    <w:p>
      <w:pPr>
        <w:pStyle w:val="Compact"/>
        <w:numPr>
          <w:ilvl w:val="0"/>
          <w:numId w:val="1012"/>
        </w:numPr>
      </w:pPr>
      <w:r>
        <w:rPr>
          <w:b/>
          <w:bCs/>
        </w:rPr>
        <w:t xml:space="preserve">Trust fees:</w:t>
      </w:r>
      <w:r>
        <w:t xml:space="preserve"> </w:t>
      </w:r>
      <w:r>
        <w:t xml:space="preserve">preferably at least $1.36 billion, with visible organic growth.</w:t>
      </w:r>
    </w:p>
    <w:p>
      <w:pPr>
        <w:pStyle w:val="Compact"/>
        <w:numPr>
          <w:ilvl w:val="0"/>
          <w:numId w:val="1012"/>
        </w:numPr>
      </w:pPr>
      <w:r>
        <w:rPr>
          <w:b/>
          <w:bCs/>
        </w:rPr>
        <w:t xml:space="preserve">FTE NII:</w:t>
      </w:r>
      <w:r>
        <w:t xml:space="preserve"> </w:t>
      </w:r>
      <w:r>
        <w:t xml:space="preserve">preferably $650 million or more, alongside stable guidance.</w:t>
      </w:r>
    </w:p>
    <w:p>
      <w:pPr>
        <w:pStyle w:val="Compact"/>
        <w:numPr>
          <w:ilvl w:val="0"/>
          <w:numId w:val="1012"/>
        </w:numPr>
      </w:pPr>
      <w:r>
        <w:rPr>
          <w:b/>
          <w:bCs/>
        </w:rPr>
        <w:t xml:space="preserve">Expenses and pretax margin:</w:t>
      </w:r>
      <w:r>
        <w:t xml:space="preserve"> </w:t>
      </w:r>
      <w:r>
        <w:t xml:space="preserve">sequential expense moderation and a margin above 31%.</w:t>
      </w:r>
    </w:p>
    <w:p>
      <w:pPr>
        <w:pStyle w:val="FirstParagraph"/>
      </w:pPr>
      <w:r>
        <w:t xml:space="preserve">A clean beat accompanied by stable or higher guidance would validate Northern Trust’s shift toward a structurally higher-return model. A headline beat driven by trading or other nonrecurring items, without core fee growth and expense discipline, would be much less compelling at the current valuation.</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www.barchart.com/stocks/quotes/NTRS/earnings-estimates?utm_source=openai" TargetMode="External" /><Relationship Type="http://schemas.openxmlformats.org/officeDocument/2006/relationships/hyperlink" Id="rId16" Target="https://www.northerntrust.com/content/dam/northerntrust/pws/nt/documents/earnings/2025/4q-2025-km040886-presentation.pdf?utm_source=openai" TargetMode="External" /><Relationship Type="http://schemas.openxmlformats.org/officeDocument/2006/relationships/hyperlink" Id="rId10" Target="https://www.northerntrust.com/united-states/about-us/investor-relations?ip=default&amp;utm_source=openai" TargetMode="External" /><Relationship Type="http://schemas.openxmlformats.org/officeDocument/2006/relationships/hyperlink" Id="rId21" Target="https://www.northerntrust.com/united-states/pr/2026/northern-trust-announces-2026-stress-capital-buffer-and-10-percent-dividend-increase?utm_source=openai" TargetMode="External" /><Relationship Type="http://schemas.openxmlformats.org/officeDocument/2006/relationships/hyperlink" Id="rId9" Target="https://www.northerntrust.com/united-states/pr/2026/northern-trust-corporation-to-webcast-second-quarter-2026-earnings-conference-call?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www.barchart.com/stocks/quotes/NTRS/earnings-estimates?utm_source=openai" TargetMode="External" /><Relationship Type="http://schemas.openxmlformats.org/officeDocument/2006/relationships/hyperlink" Id="rId16" Target="https://www.northerntrust.com/content/dam/northerntrust/pws/nt/documents/earnings/2025/4q-2025-km040886-presentation.pdf?utm_source=openai" TargetMode="External" /><Relationship Type="http://schemas.openxmlformats.org/officeDocument/2006/relationships/hyperlink" Id="rId10" Target="https://www.northerntrust.com/united-states/about-us/investor-relations?ip=default&amp;utm_source=openai" TargetMode="External" /><Relationship Type="http://schemas.openxmlformats.org/officeDocument/2006/relationships/hyperlink" Id="rId21" Target="https://www.northerntrust.com/united-states/pr/2026/northern-trust-announces-2026-stress-capital-buffer-and-10-percent-dividend-increase?utm_source=openai" TargetMode="External" /><Relationship Type="http://schemas.openxmlformats.org/officeDocument/2006/relationships/hyperlink" Id="rId9" Target="https://www.northerntrust.com/united-states/pr/2026/northern-trust-corporation-to-webcast-second-quarter-2026-earnings-conference-cal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2026-07-22T00:23:02Z</dcterms:created>
  <dcterms:modified xsi:type="dcterms:W3CDTF">2026-07-22T00:23:02Z</dcterms:modified>
</cp:coreProperties>
</file>

<file path=docProps/custom.xml><?xml version="1.0" encoding="utf-8"?>
<Properties xmlns="http://schemas.openxmlformats.org/officeDocument/2006/custom-properties" xmlns:vt="http://schemas.openxmlformats.org/officeDocument/2006/docPropsVTypes"/>
</file>