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96a14572228e95d5ddbfda314b7d4b75570b14"/>
    <w:p>
      <w:pPr>
        <w:pStyle w:val="Heading1"/>
      </w:pPr>
      <w:r>
        <w:t xml:space="preserve">Northern Trust (NTRS) — 2Q26 Earnings Preview</w:t>
      </w:r>
    </w:p>
    <w:p>
      <w:pPr>
        <w:pStyle w:val="BlockText"/>
      </w:pPr>
      <w:r>
        <w:rPr>
          <w:b/>
          <w:bCs/>
        </w:rPr>
        <w:t xml:space="preserve">Calendar note:</w:t>
      </w:r>
      <w:r>
        <w:t xml:space="preserve"> </w:t>
      </w:r>
      <w:r>
        <w:t xml:space="preserve">July 22, 2026 is</w:t>
      </w:r>
      <w:r>
        <w:t xml:space="preserve"> </w:t>
      </w:r>
      <w:r>
        <w:rPr>
          <w:b/>
          <w:bCs/>
        </w:rPr>
        <w:t xml:space="preserve">today</w:t>
      </w:r>
      <w:r>
        <w:t xml:space="preserve">, not tomorrow. This preview is therefore framed for NTRS’s</w:t>
      </w:r>
      <w:r>
        <w:t xml:space="preserve"> </w:t>
      </w:r>
      <w:r>
        <w:rPr>
          <w:b/>
          <w:bCs/>
        </w:rPr>
        <w:t xml:space="preserve">2Q26 earnings release/call on July 22</w:t>
      </w:r>
      <w:r>
        <w:t xml:space="preserve">.</w:t>
      </w:r>
    </w:p>
    <w:bookmarkStart w:id="9" w:name="X93fc89f6d9deb533db1bc4862671a9e8d6bd6e4"/>
    <w:p>
      <w:pPr>
        <w:pStyle w:val="Heading2"/>
      </w:pPr>
      <w:r>
        <w:t xml:space="preserve">Investment setup: execution remains strong, but the bar is higher</w:t>
      </w:r>
    </w:p>
    <w:p>
      <w:pPr>
        <w:pStyle w:val="FirstParagraph"/>
      </w:pPr>
      <w:r>
        <w:t xml:space="preserve">Northern Trust enters 2Q26 following an exceptionally strong first quarter and a constructive early-2Q update. The central question is no longer whether the franchise is improving—it is whether the company can demonstrate that its elevated profitability is</w:t>
      </w:r>
      <w:r>
        <w:t xml:space="preserve"> </w:t>
      </w:r>
      <w:r>
        <w:rPr>
          <w:b/>
          <w:bCs/>
        </w:rPr>
        <w:t xml:space="preserve">durable beyond favorable markets, high client liquidity, and volatility-driven capital-markets activity</w:t>
      </w:r>
      <w:r>
        <w:t xml:space="preserve">.</w:t>
      </w:r>
    </w:p>
    <w:p>
      <w:pPr>
        <w:pStyle w:val="BodyText"/>
      </w:pPr>
      <w:r>
        <w:t xml:space="preserve">The stock closed at</w:t>
      </w:r>
      <w:r>
        <w:t xml:space="preserve"> </w:t>
      </w:r>
      <w:r>
        <w:rPr>
          <w:b/>
          <w:bCs/>
        </w:rPr>
        <w:t xml:space="preserve">$185.09 on July 21</w:t>
      </w:r>
      <w:r>
        <w:t xml:space="preserve">, up</w:t>
      </w:r>
      <w:r>
        <w:t xml:space="preserve"> </w:t>
      </w:r>
      <w:r>
        <w:rPr>
          <w:b/>
          <w:bCs/>
        </w:rPr>
        <w:t xml:space="preserve">16.4% since April 20</w:t>
      </w:r>
      <w:r>
        <w:t xml:space="preserve"> </w:t>
      </w:r>
      <w:r>
        <w:t xml:space="preserve">and</w:t>
      </w:r>
      <w:r>
        <w:t xml:space="preserve"> </w:t>
      </w:r>
      <w:r>
        <w:rPr>
          <w:b/>
          <w:bCs/>
        </w:rPr>
        <w:t xml:space="preserve">7.8% since the 1Q26 earnings date</w:t>
      </w:r>
      <w:r>
        <w:t xml:space="preserve">. That performance implies investors will likely demand confirmation of the upgraded net-interest-income outlook, continued fee momentum, and credible expense discipline rather than simply a modest earnings beat.</w:t>
      </w:r>
    </w:p>
    <w:bookmarkEnd w:id="9"/>
    <w:bookmarkStart w:id="10" w:name="why-this-quarter-matters"/>
    <w:p>
      <w:pPr>
        <w:pStyle w:val="Heading2"/>
      </w:pPr>
      <w:r>
        <w:t xml:space="preserve">Why this quarter matters</w:t>
      </w:r>
    </w:p>
    <w:p>
      <w:pPr>
        <w:pStyle w:val="FirstParagraph"/>
      </w:pPr>
      <w:r>
        <w:t xml:space="preserve">In 1Q26, NTRS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YoY change</w:t>
            </w:r>
          </w:p>
        </w:tc>
      </w:tr>
      <w:tr>
        <w:tc>
          <w:tcPr/>
          <w:p>
            <w:pPr>
              <w:pStyle w:val="Compact"/>
            </w:pPr>
            <w:r>
              <w:t xml:space="preserve">Diluted EPS</w:t>
            </w:r>
          </w:p>
        </w:tc>
        <w:tc>
          <w:tcPr/>
          <w:p>
            <w:pPr>
              <w:pStyle w:val="Compact"/>
              <w:jc w:val="right"/>
            </w:pPr>
            <w:r>
              <w:rPr>
                <w:b/>
                <w:bCs/>
              </w:rPr>
              <w:t xml:space="preserve">$2.71</w:t>
            </w:r>
          </w:p>
        </w:tc>
        <w:tc>
          <w:tcPr/>
          <w:p>
            <w:pPr>
              <w:pStyle w:val="Compact"/>
              <w:jc w:val="right"/>
            </w:pPr>
            <w:r>
              <w:rPr>
                <w:b/>
                <w:bCs/>
              </w:rPr>
              <w:t xml:space="preserve">+43%</w:t>
            </w:r>
          </w:p>
        </w:tc>
      </w:tr>
      <w:tr>
        <w:tc>
          <w:tcPr/>
          <w:p>
            <w:pPr>
              <w:pStyle w:val="Compact"/>
            </w:pPr>
            <w:r>
              <w:t xml:space="preserve">Total revenue, FTE</w:t>
            </w:r>
          </w:p>
        </w:tc>
        <w:tc>
          <w:tcPr/>
          <w:p>
            <w:pPr>
              <w:pStyle w:val="Compact"/>
              <w:jc w:val="right"/>
            </w:pPr>
            <w:r>
              <w:rPr>
                <w:b/>
                <w:bCs/>
              </w:rPr>
              <w:t xml:space="preserve">$2.21B</w:t>
            </w:r>
          </w:p>
        </w:tc>
        <w:tc>
          <w:tcPr/>
          <w:p>
            <w:pPr>
              <w:pStyle w:val="Compact"/>
              <w:jc w:val="right"/>
            </w:pPr>
            <w:r>
              <w:rPr>
                <w:b/>
                <w:bCs/>
              </w:rPr>
              <w:t xml:space="preserve">+14%</w:t>
            </w:r>
          </w:p>
        </w:tc>
      </w:tr>
      <w:tr>
        <w:tc>
          <w:tcPr/>
          <w:p>
            <w:pPr>
              <w:pStyle w:val="Compact"/>
            </w:pPr>
            <w:r>
              <w:t xml:space="preserve">Trust, investment &amp; servicing fees</w:t>
            </w:r>
          </w:p>
        </w:tc>
        <w:tc>
          <w:tcPr/>
          <w:p>
            <w:pPr>
              <w:pStyle w:val="Compact"/>
              <w:jc w:val="right"/>
            </w:pPr>
            <w:r>
              <w:rPr>
                <w:b/>
                <w:bCs/>
              </w:rPr>
              <w:t xml:space="preserve">$1.34B</w:t>
            </w:r>
          </w:p>
        </w:tc>
        <w:tc>
          <w:tcPr/>
          <w:p>
            <w:pPr>
              <w:pStyle w:val="Compact"/>
              <w:jc w:val="right"/>
            </w:pPr>
            <w:r>
              <w:rPr>
                <w:b/>
                <w:bCs/>
              </w:rPr>
              <w:t xml:space="preserve">+11%</w:t>
            </w:r>
          </w:p>
        </w:tc>
      </w:tr>
      <w:tr>
        <w:tc>
          <w:tcPr/>
          <w:p>
            <w:pPr>
              <w:pStyle w:val="Compact"/>
            </w:pPr>
            <w:r>
              <w:t xml:space="preserve">Net interest income, FTE</w:t>
            </w:r>
          </w:p>
        </w:tc>
        <w:tc>
          <w:tcPr/>
          <w:p>
            <w:pPr>
              <w:pStyle w:val="Compact"/>
              <w:jc w:val="right"/>
            </w:pPr>
            <w:r>
              <w:rPr>
                <w:b/>
                <w:bCs/>
              </w:rPr>
              <w:t xml:space="preserve">$662M</w:t>
            </w:r>
          </w:p>
        </w:tc>
        <w:tc>
          <w:tcPr/>
          <w:p>
            <w:pPr>
              <w:pStyle w:val="Compact"/>
              <w:jc w:val="right"/>
            </w:pPr>
            <w:r>
              <w:rPr>
                <w:b/>
                <w:bCs/>
              </w:rPr>
              <w:t xml:space="preserve">+15%</w:t>
            </w:r>
          </w:p>
        </w:tc>
      </w:tr>
      <w:tr>
        <w:tc>
          <w:tcPr/>
          <w:p>
            <w:pPr>
              <w:pStyle w:val="Compact"/>
            </w:pPr>
            <w:r>
              <w:t xml:space="preserve">Pre-tax margin, FTE</w:t>
            </w:r>
          </w:p>
        </w:tc>
        <w:tc>
          <w:tcPr/>
          <w:p>
            <w:pPr>
              <w:pStyle w:val="Compact"/>
              <w:jc w:val="right"/>
            </w:pPr>
            <w:r>
              <w:rPr>
                <w:b/>
                <w:bCs/>
              </w:rPr>
              <w:t xml:space="preserve">32.0%</w:t>
            </w:r>
          </w:p>
        </w:tc>
        <w:tc>
          <w:tcPr/>
          <w:p>
            <w:pPr>
              <w:pStyle w:val="Compact"/>
              <w:jc w:val="right"/>
            </w:pPr>
            <w:r>
              <w:rPr>
                <w:b/>
                <w:bCs/>
              </w:rPr>
              <w:t xml:space="preserve">+490 bps</w:t>
            </w:r>
          </w:p>
        </w:tc>
      </w:tr>
      <w:tr>
        <w:tc>
          <w:tcPr/>
          <w:p>
            <w:pPr>
              <w:pStyle w:val="Compact"/>
            </w:pPr>
            <w:r>
              <w:t xml:space="preserve">ROE</w:t>
            </w:r>
          </w:p>
        </w:tc>
        <w:tc>
          <w:tcPr/>
          <w:p>
            <w:pPr>
              <w:pStyle w:val="Compact"/>
              <w:jc w:val="right"/>
            </w:pPr>
            <w:r>
              <w:rPr>
                <w:b/>
                <w:bCs/>
              </w:rPr>
              <w:t xml:space="preserve">17.4%</w:t>
            </w:r>
          </w:p>
        </w:tc>
        <w:tc>
          <w:tcPr/>
          <w:p>
            <w:pPr>
              <w:pStyle w:val="Compact"/>
              <w:jc w:val="right"/>
            </w:pPr>
            <w:r>
              <w:t xml:space="preserve">+440 bps</w:t>
            </w:r>
          </w:p>
        </w:tc>
      </w:tr>
      <w:tr>
        <w:tc>
          <w:tcPr/>
          <w:p>
            <w:pPr>
              <w:pStyle w:val="Compact"/>
            </w:pPr>
            <w:r>
              <w:t xml:space="preserve">AUC/A</w:t>
            </w:r>
          </w:p>
        </w:tc>
        <w:tc>
          <w:tcPr/>
          <w:p>
            <w:pPr>
              <w:pStyle w:val="Compact"/>
              <w:jc w:val="right"/>
            </w:pPr>
            <w:r>
              <w:rPr>
                <w:b/>
                <w:bCs/>
              </w:rPr>
              <w:t xml:space="preserve">$18.6T</w:t>
            </w:r>
          </w:p>
        </w:tc>
        <w:tc>
          <w:tcPr/>
          <w:p>
            <w:pPr>
              <w:pStyle w:val="Compact"/>
              <w:jc w:val="right"/>
            </w:pPr>
            <w:r>
              <w:rPr>
                <w:b/>
                <w:bCs/>
              </w:rPr>
              <w:t xml:space="preserve">+10%</w:t>
            </w:r>
          </w:p>
        </w:tc>
      </w:tr>
      <w:tr>
        <w:tc>
          <w:tcPr/>
          <w:p>
            <w:pPr>
              <w:pStyle w:val="Compact"/>
            </w:pPr>
            <w:r>
              <w:t xml:space="preserve">AUM</w:t>
            </w:r>
          </w:p>
        </w:tc>
        <w:tc>
          <w:tcPr/>
          <w:p>
            <w:pPr>
              <w:pStyle w:val="Compact"/>
              <w:jc w:val="right"/>
            </w:pPr>
            <w:r>
              <w:rPr>
                <w:b/>
                <w:bCs/>
              </w:rPr>
              <w:t xml:space="preserve">$1.8T</w:t>
            </w:r>
          </w:p>
        </w:tc>
        <w:tc>
          <w:tcPr/>
          <w:p>
            <w:pPr>
              <w:pStyle w:val="Compact"/>
              <w:jc w:val="right"/>
            </w:pPr>
            <w:r>
              <w:rPr>
                <w:b/>
                <w:bCs/>
              </w:rPr>
              <w:t xml:space="preserve">+11%</w:t>
            </w:r>
          </w:p>
        </w:tc>
      </w:tr>
    </w:tbl>
    <w:p>
      <w:pPr>
        <w:pStyle w:val="BodyText"/>
      </w:pPr>
      <w:r>
        <w:t xml:space="preserve">The quarter combined structural improvements—positive organic growth, productivity initiatives, new-business wins, and share repurchases—with cyclical tailwinds: favorable markets, unusually high deposits, and stronger FX/trading activity.</w:t>
      </w:r>
    </w:p>
    <w:p>
      <w:pPr>
        <w:pStyle w:val="BodyText"/>
      </w:pPr>
      <w:r>
        <w:t xml:space="preserve">Management’s full-year guide after 1Q called for:</w:t>
      </w:r>
    </w:p>
    <w:p>
      <w:pPr>
        <w:pStyle w:val="Compact"/>
        <w:numPr>
          <w:ilvl w:val="0"/>
          <w:numId w:val="1001"/>
        </w:numPr>
      </w:pPr>
      <w:r>
        <w:rPr>
          <w:b/>
          <w:bCs/>
        </w:rPr>
        <w:t xml:space="preserve">Mid- to high-single-digit NII growth</w:t>
      </w:r>
      <w:r>
        <w:t xml:space="preserve"> </w:t>
      </w:r>
      <w:r>
        <w:t xml:space="preserve">versus 2025, raised from low- to mid-single digits.</w:t>
      </w:r>
    </w:p>
    <w:p>
      <w:pPr>
        <w:pStyle w:val="Compact"/>
        <w:numPr>
          <w:ilvl w:val="0"/>
          <w:numId w:val="1001"/>
        </w:numPr>
      </w:pPr>
      <w:r>
        <w:rPr>
          <w:b/>
          <w:bCs/>
        </w:rPr>
        <w:t xml:space="preserve">More than 100 bps of positive operating leverage.</w:t>
      </w:r>
    </w:p>
    <w:p>
      <w:pPr>
        <w:pStyle w:val="Compact"/>
        <w:numPr>
          <w:ilvl w:val="0"/>
          <w:numId w:val="1001"/>
        </w:numPr>
      </w:pPr>
      <w:r>
        <w:rPr>
          <w:b/>
          <w:bCs/>
        </w:rPr>
        <w:t xml:space="preserve">At least 100% of earnings returned</w:t>
      </w:r>
      <w:r>
        <w:t xml:space="preserve"> </w:t>
      </w:r>
      <w:r>
        <w:t xml:space="preserve">to shareholders.</w:t>
      </w:r>
    </w:p>
    <w:p>
      <w:pPr>
        <w:pStyle w:val="FirstParagraph"/>
      </w:pPr>
      <w:r>
        <w:t xml:space="preserve">At the Morgan Stanley Financials Conference on June 9, management said the 1Q framework and guidance still held, characterizing the backdrop as constructive but emphasizing the need for sustainability.</w:t>
      </w:r>
    </w:p>
    <w:bookmarkEnd w:id="10"/>
    <w:bookmarkStart w:id="14" w:name="X8d7f2de1e2282f80614e362fa74271509f1d429"/>
    <w:p>
      <w:pPr>
        <w:pStyle w:val="Heading2"/>
      </w:pPr>
      <w:r>
        <w:t xml:space="preserve">The key debate: how much of 1Q was repeatable?</w:t>
      </w:r>
    </w:p>
    <w:bookmarkStart w:id="11" w:name="X2134351a6ce4148beecb88174c8c793444aaf1a"/>
    <w:p>
      <w:pPr>
        <w:pStyle w:val="Heading3"/>
      </w:pPr>
      <w:r>
        <w:t xml:space="preserve">1. Net interest income is the most important earnings variable</w:t>
      </w:r>
    </w:p>
    <w:p>
      <w:pPr>
        <w:pStyle w:val="FirstParagraph"/>
      </w:pPr>
      <w:r>
        <w:t xml:space="preserve">NII reached a quarterly record in 1Q, supported by average deposits of</w:t>
      </w:r>
      <w:r>
        <w:t xml:space="preserve"> </w:t>
      </w:r>
      <m:oMath>
        <m:r>
          <m:t>129.0</m:t>
        </m:r>
        <m:r>
          <m:t>B</m:t>
        </m:r>
        <m:r>
          <m:rPr>
            <m:sty m:val="p"/>
          </m:rPr>
          <m:t>*</m:t>
        </m:r>
        <m:r>
          <m:rPr>
            <m:sty m:val="p"/>
          </m:rPr>
          <m:t>*</m:t>
        </m:r>
        <m:r>
          <m:rPr>
            <m:sty m:val="p"/>
          </m:rPr>
          <m:t>,</m:t>
        </m:r>
        <m:r>
          <m:t>u</m:t>
        </m:r>
        <m:r>
          <m:t>p</m:t>
        </m:r>
        <m:r>
          <m:t>8</m:t>
        </m:r>
      </m:oMath>
      <w:r>
        <w:rPr>
          <w:b/>
          <w:bCs/>
        </w:rPr>
        <w:t xml:space="preserve">4B–</w:t>
      </w:r>
      <m:oMath>
        <m:r>
          <m:t>5</m:t>
        </m:r>
        <m:r>
          <m:t>B</m:t>
        </m:r>
        <m:r>
          <m:rPr>
            <m:sty m:val="p"/>
          </m:rPr>
          <m:t>*</m:t>
        </m:r>
        <m:r>
          <m:rPr>
            <m:sty m:val="p"/>
          </m:rPr>
          <m:t>*</m:t>
        </m:r>
        <m:r>
          <m:t>o</m:t>
        </m:r>
        <m:r>
          <m:t>f</m:t>
        </m:r>
        <m:r>
          <m:t>t</m:t>
        </m:r>
        <m:r>
          <m:t>h</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9B</w:t>
      </w:r>
      <w:r>
        <w:t xml:space="preserve"> </w:t>
      </w:r>
      <w:r>
        <w:t xml:space="preserve">sequential average-deposit increase.</w:t>
      </w:r>
    </w:p>
    <w:p>
      <w:pPr>
        <w:pStyle w:val="BodyText"/>
      </w:pPr>
      <w:r>
        <w:t xml:space="preserve">For 2Q, investors should focus on:</w:t>
      </w:r>
    </w:p>
    <w:p>
      <w:pPr>
        <w:pStyle w:val="Compact"/>
        <w:numPr>
          <w:ilvl w:val="0"/>
          <w:numId w:val="1002"/>
        </w:numPr>
      </w:pPr>
      <w:r>
        <w:rPr>
          <w:b/>
          <w:bCs/>
        </w:rPr>
        <w:t xml:space="preserve">Average deposit retention:</w:t>
      </w:r>
      <w:r>
        <w:t xml:space="preserve"> </w:t>
      </w:r>
      <w:r>
        <w:t xml:space="preserve">Did balances settle near management’s indicated retained level, or remain stronger?</w:t>
      </w:r>
    </w:p>
    <w:p>
      <w:pPr>
        <w:pStyle w:val="Compact"/>
        <w:numPr>
          <w:ilvl w:val="0"/>
          <w:numId w:val="1002"/>
        </w:numPr>
      </w:pPr>
      <w:r>
        <w:rPr>
          <w:b/>
          <w:bCs/>
        </w:rPr>
        <w:t xml:space="preserve">NII direction and revised outlook:</w:t>
      </w:r>
      <w:r>
        <w:t xml:space="preserve"> </w:t>
      </w:r>
      <w:r>
        <w:t xml:space="preserve">The raised full-year NII guide is a core part of the investment case.</w:t>
      </w:r>
    </w:p>
    <w:p>
      <w:pPr>
        <w:pStyle w:val="Compact"/>
        <w:numPr>
          <w:ilvl w:val="0"/>
          <w:numId w:val="1002"/>
        </w:numPr>
      </w:pPr>
      <w:r>
        <w:rPr>
          <w:b/>
          <w:bCs/>
        </w:rPr>
        <w:t xml:space="preserve">NIM:</w:t>
      </w:r>
      <w:r>
        <w:t xml:space="preserve"> </w:t>
      </w:r>
      <w:r>
        <w:t xml:space="preserve">1Q FTE NIM fell 6 bps sequentially to 1.75% despite higher NII because of mix and large institutional deposits. A stable-to-improving NIM would be encouraging, but NII dollars and deposit volume matter more.</w:t>
      </w:r>
    </w:p>
    <w:p>
      <w:pPr>
        <w:pStyle w:val="Compact"/>
        <w:numPr>
          <w:ilvl w:val="0"/>
          <w:numId w:val="1002"/>
        </w:numPr>
      </w:pPr>
      <w:r>
        <w:rPr>
          <w:b/>
          <w:bCs/>
        </w:rPr>
        <w:t xml:space="preserve">Balance-sheet deployment:</w:t>
      </w:r>
      <w:r>
        <w:t xml:space="preserve"> </w:t>
      </w:r>
      <w:r>
        <w:t xml:space="preserve">NTRS has cited securities repricing, deposit-pricing actions, selective higher-yielding investments, and wholesale-funding optimization as contributors to 2026 NII.</w:t>
      </w:r>
    </w:p>
    <w:p>
      <w:pPr>
        <w:pStyle w:val="Compact"/>
        <w:numPr>
          <w:ilvl w:val="0"/>
          <w:numId w:val="1002"/>
        </w:numPr>
      </w:pPr>
      <w:r>
        <w:rPr>
          <w:b/>
          <w:bCs/>
        </w:rPr>
        <w:t xml:space="preserve">Rate sensitivity:</w:t>
      </w:r>
      <w:r>
        <w:t xml:space="preserve"> </w:t>
      </w:r>
      <w:r>
        <w:t xml:space="preserve">Management previously removed U.S. rate cuts from its working outlook. Any renewed concern about lower rates—or a weaker deposit outlook—would challenge the NII trajectory.</w:t>
      </w:r>
    </w:p>
    <w:p>
      <w:pPr>
        <w:pStyle w:val="FirstParagraph"/>
      </w:pPr>
      <w:r>
        <w:rPr>
          <w:b/>
          <w:bCs/>
        </w:rPr>
        <w:t xml:space="preserve">What would be bullish:</w:t>
      </w:r>
      <w:r>
        <w:t xml:space="preserve"> </w:t>
      </w:r>
      <w:r>
        <w:t xml:space="preserve">NII holds close to 1Q levels or advances, while management reaffirms the mid- to high-single-digit full-year growth outlook.</w:t>
      </w:r>
    </w:p>
    <w:p>
      <w:pPr>
        <w:pStyle w:val="BodyText"/>
      </w:pPr>
      <w:r>
        <w:rPr>
          <w:b/>
          <w:bCs/>
        </w:rPr>
        <w:t xml:space="preserve">What would disappoint:</w:t>
      </w:r>
      <w:r>
        <w:t xml:space="preserve"> </w:t>
      </w:r>
      <w:r>
        <w:t xml:space="preserve">A sharp step-down in NII from deposit normalization, coupled with a softer guide or more caution on liquidity conditions.</w:t>
      </w:r>
    </w:p>
    <w:p>
      <w:r>
        <w:pict>
          <v:rect style="width:0;height:1.5pt" o:hralign="center" o:hrstd="t" o:hr="t"/>
        </w:pict>
      </w:r>
    </w:p>
    <w:bookmarkEnd w:id="11"/>
    <w:bookmarkStart w:id="12" w:name="Xa7a637e77bb4a7019d1f83ff44adba45d6d538e"/>
    <w:p>
      <w:pPr>
        <w:pStyle w:val="Heading3"/>
      </w:pPr>
      <w:r>
        <w:t xml:space="preserve">2. Trust-fee growth needs to stay broad-based</w:t>
      </w:r>
    </w:p>
    <w:p>
      <w:pPr>
        <w:pStyle w:val="FirstParagraph"/>
      </w:pPr>
      <w:r>
        <w:t xml:space="preserve">Trust, investment, and servicing fees grew 11% year over year in 1Q, led by both Asset Servicing and Wealth Management. This is the clearest evidence that Northern Trust’s strategic emphasis on organic growth is beginning to show through.</w:t>
      </w:r>
    </w:p>
    <w:p>
      <w:pPr>
        <w:pStyle w:val="BodyText"/>
      </w:pPr>
      <w:r>
        <w:t xml:space="preserve">Key items to watch:</w:t>
      </w:r>
    </w:p>
    <w:p>
      <w:pPr>
        <w:pStyle w:val="Compact"/>
        <w:numPr>
          <w:ilvl w:val="0"/>
          <w:numId w:val="1003"/>
        </w:numPr>
      </w:pPr>
      <w:r>
        <w:rPr>
          <w:b/>
          <w:bCs/>
        </w:rPr>
        <w:t xml:space="preserve">Asset Servicing:</w:t>
      </w:r>
      <w:r>
        <w:t xml:space="preserve"> </w:t>
      </w:r>
      <w:r>
        <w:t xml:space="preserve">1Q fees rose 10%, supported by market levels, favorable currency, new business, and custody/fund-administration demand. The segment’s 28.3% pre-tax margin was exceptionally strong, rising 740 bps year over year.</w:t>
      </w:r>
    </w:p>
    <w:p>
      <w:pPr>
        <w:pStyle w:val="Compact"/>
        <w:numPr>
          <w:ilvl w:val="0"/>
          <w:numId w:val="1003"/>
        </w:numPr>
      </w:pPr>
      <w:r>
        <w:rPr>
          <w:b/>
          <w:bCs/>
        </w:rPr>
        <w:t xml:space="preserve">Wealth Management:</w:t>
      </w:r>
      <w:r>
        <w:t xml:space="preserve"> </w:t>
      </w:r>
      <w:r>
        <w:t xml:space="preserve">Fees rose 11%, with particular strength in Global Family Office and the Central region. The trade-off is that management is deliberately investing for growth, including plans to increase revenue-generating wealth roles by high-single-digit percentages in 2026.</w:t>
      </w:r>
    </w:p>
    <w:p>
      <w:pPr>
        <w:pStyle w:val="Compact"/>
        <w:numPr>
          <w:ilvl w:val="0"/>
          <w:numId w:val="1003"/>
        </w:numPr>
      </w:pPr>
      <w:r>
        <w:rPr>
          <w:b/>
          <w:bCs/>
        </w:rPr>
        <w:t xml:space="preserve">Capital markets income:</w:t>
      </w:r>
      <w:r>
        <w:t xml:space="preserve"> </w:t>
      </w:r>
      <w:r>
        <w:t xml:space="preserve">FX trading, securities commissions, and trading income were unusually strong in 1Q because volatility and client activity were elevated. These revenues are profitable but inherently less predictable than recurring servicing fees.</w:t>
      </w:r>
    </w:p>
    <w:p>
      <w:pPr>
        <w:pStyle w:val="Compact"/>
        <w:numPr>
          <w:ilvl w:val="0"/>
          <w:numId w:val="1003"/>
        </w:numPr>
      </w:pPr>
      <w:r>
        <w:rPr>
          <w:b/>
          <w:bCs/>
        </w:rPr>
        <w:t xml:space="preserve">AUC/A and AUM:</w:t>
      </w:r>
      <w:r>
        <w:t xml:space="preserve"> </w:t>
      </w:r>
      <w:r>
        <w:t xml:space="preserve">Quarter-end asset values, net new business, client flows, and foreign-exchange translation remain important read-throughs for forward fee revenue.</w:t>
      </w:r>
    </w:p>
    <w:p>
      <w:pPr>
        <w:pStyle w:val="FirstParagraph"/>
      </w:pPr>
      <w:r>
        <w:t xml:space="preserve">The company targets roughly</w:t>
      </w:r>
      <w:r>
        <w:t xml:space="preserve"> </w:t>
      </w:r>
      <w:r>
        <w:rPr>
          <w:b/>
          <w:bCs/>
        </w:rPr>
        <w:t xml:space="preserve">3% organic growth</w:t>
      </w:r>
      <w:r>
        <w:t xml:space="preserve"> </w:t>
      </w:r>
      <w:r>
        <w:t xml:space="preserve">across each major business over time, with upside to that target. The 2Q call should offer a useful indication of whether 1Q’s strong fee performance reflects a sustained pickup in net new business rather than primarily market appreciation.</w:t>
      </w:r>
    </w:p>
    <w:p>
      <w:r>
        <w:pict>
          <v:rect style="width:0;height:1.5pt" o:hralign="center" o:hrstd="t" o:hr="t"/>
        </w:pict>
      </w:r>
    </w:p>
    <w:bookmarkEnd w:id="12"/>
    <w:bookmarkStart w:id="13" w:name="X224dbbb63edc1e2ddc1fc4c4922c18661d8448b"/>
    <w:p>
      <w:pPr>
        <w:pStyle w:val="Heading3"/>
      </w:pPr>
      <w:r>
        <w:t xml:space="preserve">3. Operating leverage is the durability test</w:t>
      </w:r>
    </w:p>
    <w:p>
      <w:pPr>
        <w:pStyle w:val="FirstParagraph"/>
      </w:pPr>
      <w:r>
        <w:t xml:space="preserve">NTRS produced more than 700 bps of total operating leverage in 1Q, but management maintained a much more conservative full-year target of</w:t>
      </w:r>
      <w:r>
        <w:t xml:space="preserve"> </w:t>
      </w:r>
      <w:r>
        <w:rPr>
          <w:b/>
          <w:bCs/>
        </w:rPr>
        <w:t xml:space="preserve">greater than 100 bps</w:t>
      </w:r>
      <w:r>
        <w:t xml:space="preserve">. That gap is intentional: management expects tougher comparisons later in the year and plans to continue reinvesting in growth, technology, and AI capabilities.</w:t>
      </w:r>
    </w:p>
    <w:p>
      <w:pPr>
        <w:pStyle w:val="BodyText"/>
      </w:pPr>
      <w:r>
        <w:t xml:space="preserve">For 2Q, the important signals are:</w:t>
      </w:r>
    </w:p>
    <w:p>
      <w:pPr>
        <w:pStyle w:val="Compact"/>
        <w:numPr>
          <w:ilvl w:val="0"/>
          <w:numId w:val="1004"/>
        </w:numPr>
      </w:pPr>
      <w:r>
        <w:rPr>
          <w:b/>
          <w:bCs/>
        </w:rPr>
        <w:t xml:space="preserve">Total expense growth</w:t>
      </w:r>
      <w:r>
        <w:t xml:space="preserve">, especially compensation and benefits and equipment/software.</w:t>
      </w:r>
    </w:p>
    <w:p>
      <w:pPr>
        <w:pStyle w:val="Compact"/>
        <w:numPr>
          <w:ilvl w:val="0"/>
          <w:numId w:val="1004"/>
        </w:numPr>
      </w:pPr>
      <w:r>
        <w:t xml:space="preserve">Whether management reiterates that expenses should trend lower through the balance of 2026.</w:t>
      </w:r>
    </w:p>
    <w:p>
      <w:pPr>
        <w:pStyle w:val="Compact"/>
        <w:numPr>
          <w:ilvl w:val="0"/>
          <w:numId w:val="1004"/>
        </w:numPr>
      </w:pPr>
      <w:r>
        <w:t xml:space="preserve">Progress toward reducing technology-spending growth to single digits in 2026, with a medium-term aspiration for mid-single-digit growth.</w:t>
      </w:r>
    </w:p>
    <w:p>
      <w:pPr>
        <w:pStyle w:val="Compact"/>
        <w:numPr>
          <w:ilvl w:val="0"/>
          <w:numId w:val="1004"/>
        </w:numPr>
      </w:pPr>
      <w:r>
        <w:t xml:space="preserve">Evidence that productivity is funding investment rather than simply delaying cost growth.</w:t>
      </w:r>
    </w:p>
    <w:p>
      <w:pPr>
        <w:pStyle w:val="FirstParagraph"/>
      </w:pPr>
      <w:r>
        <w:t xml:space="preserve">At the June conference, management described AI spending as small relative to the overall technology budget but growing rapidly. The near-term financial message is not mass labor elimination; it is productivity, faster software development, operational automation, and wealth-advisor enablement. Investors should expect spend to remain elevated in priority areas, so the key is whether productivity and revenue growth continue to outpace it.</w:t>
      </w:r>
    </w:p>
    <w:p>
      <w:r>
        <w:pict>
          <v:rect style="width:0;height:1.5pt" o:hralign="center" o:hrstd="t" o:hr="t"/>
        </w:pict>
      </w:r>
    </w:p>
    <w:bookmarkEnd w:id="13"/>
    <w:bookmarkEnd w:id="14"/>
    <w:bookmarkStart w:id="15" w:name="X5c6ba8a5aa94f0b7b6793d458ab1ab42a406699"/>
    <w:p>
      <w:pPr>
        <w:pStyle w:val="Heading2"/>
      </w:pPr>
      <w:r>
        <w:t xml:space="preserve">Capital return: still a meaningful support</w:t>
      </w:r>
    </w:p>
    <w:p>
      <w:pPr>
        <w:pStyle w:val="FirstParagraph"/>
      </w:pPr>
      <w:r>
        <w:t xml:space="preserve">NTRS returned</w:t>
      </w:r>
      <w:r>
        <w:t xml:space="preserve"> </w:t>
      </w:r>
      <m:oMath>
        <m:r>
          <m:t>510</m:t>
        </m:r>
        <m:r>
          <m:t>M</m:t>
        </m:r>
        <m:r>
          <m:rPr>
            <m:sty m:val="p"/>
          </m:rPr>
          <m:t>*</m:t>
        </m:r>
        <m:r>
          <m:rPr>
            <m:sty m:val="p"/>
          </m:rPr>
          <m:t>*</m:t>
        </m:r>
        <m:r>
          <m:t>t</m:t>
        </m:r>
        <m:r>
          <m:t>o</m:t>
        </m:r>
        <m:r>
          <m:t>c</m:t>
        </m:r>
        <m:r>
          <m:t>o</m:t>
        </m:r>
        <m:r>
          <m:t>m</m:t>
        </m:r>
        <m:r>
          <m:t>m</m:t>
        </m:r>
        <m:r>
          <m:t>o</m:t>
        </m:r>
        <m:r>
          <m:t>n</m:t>
        </m:r>
        <m:r>
          <m:t>s</m:t>
        </m:r>
        <m:r>
          <m:t>h</m:t>
        </m:r>
        <m:r>
          <m:t>a</m:t>
        </m:r>
        <m:r>
          <m:t>r</m:t>
        </m:r>
        <m:r>
          <m:t>e</m:t>
        </m:r>
        <m:r>
          <m:t>h</m:t>
        </m:r>
        <m:r>
          <m:t>o</m:t>
        </m:r>
        <m:r>
          <m:t>l</m:t>
        </m:r>
        <m:r>
          <m:t>d</m:t>
        </m:r>
        <m:r>
          <m:t>e</m:t>
        </m:r>
        <m:r>
          <m:t>r</m:t>
        </m:r>
        <m:r>
          <m:t>s</m:t>
        </m:r>
        <m:r>
          <m:t>i</m:t>
        </m:r>
        <m:r>
          <m:t>n</m:t>
        </m:r>
        <m:r>
          <m:t>1</m:t>
        </m:r>
        <m:r>
          <m:t>Q</m:t>
        </m:r>
        <m:r>
          <m:rPr>
            <m:sty m:val="p"/>
          </m:rPr>
          <m:t>,</m:t>
        </m:r>
        <m:r>
          <m:t>e</m:t>
        </m:r>
        <m:r>
          <m:t>q</m:t>
        </m:r>
        <m:r>
          <m:t>u</m:t>
        </m:r>
        <m:r>
          <m:t>a</m:t>
        </m:r>
        <m:r>
          <m:t>l</m:t>
        </m:r>
        <m:r>
          <m:t>t</m:t>
        </m:r>
        <m:r>
          <m:t>o</m:t>
        </m:r>
        <m:r>
          <m:t>100</m:t>
        </m:r>
      </m:oMath>
      <w:r>
        <w:rPr>
          <w:b/>
          <w:bCs/>
        </w:rPr>
        <w:t xml:space="preserve">359M of buybacks</w:t>
      </w:r>
      <w:r>
        <w:t xml:space="preserve"> </w:t>
      </w:r>
      <w:r>
        <w:t xml:space="preserve">and</w:t>
      </w:r>
      <w:r>
        <w:t xml:space="preserve"> </w:t>
      </w:r>
      <w:r>
        <w:rPr>
          <w:b/>
          <w:bCs/>
        </w:rPr>
        <w:t xml:space="preserve">$151M of common dividends</w:t>
      </w:r>
      <w:r>
        <w:t xml:space="preserve">. The share count was down 5% year over year.</w:t>
      </w:r>
    </w:p>
    <w:p>
      <w:pPr>
        <w:pStyle w:val="BodyText"/>
      </w:pPr>
      <w:r>
        <w:t xml:space="preserve">A separate capital-allocation question is the expected release/sale of a portion of Northern Trust’s Visa Class B shares. Management previously referenced approximately</w:t>
      </w:r>
      <w:r>
        <w:t xml:space="preserve"> </w:t>
      </w:r>
      <m:oMath>
        <m:r>
          <m:t>470</m:t>
        </m:r>
        <m:r>
          <m:t>M</m:t>
        </m:r>
        <m:r>
          <m:t>p</m:t>
        </m:r>
        <m:r>
          <m:t>r</m:t>
        </m:r>
        <m:r>
          <m:t>e</m:t>
        </m:r>
        <m:r>
          <m:rPr>
            <m:sty m:val="p"/>
          </m:rPr>
          <m:t>−</m:t>
        </m:r>
        <m:r>
          <m:t>t</m:t>
        </m:r>
        <m:r>
          <m:t>a</m:t>
        </m:r>
        <m:r>
          <m:t>x</m:t>
        </m:r>
        <m:r>
          <m:rPr>
            <m:sty m:val="p"/>
          </m:rPr>
          <m:t>*</m:t>
        </m:r>
        <m:r>
          <m:rPr>
            <m:sty m:val="p"/>
          </m:rPr>
          <m:t>*</m:t>
        </m:r>
        <m:r>
          <m:rPr>
            <m:sty m:val="p"/>
          </m:rPr>
          <m:t>,</m:t>
        </m:r>
        <m:r>
          <m:t>o</m:t>
        </m:r>
        <m:r>
          <m:t>r</m:t>
        </m:r>
        <m:r>
          <m:t>r</m:t>
        </m:r>
        <m:r>
          <m:t>o</m:t>
        </m:r>
        <m:r>
          <m:t>u</m:t>
        </m:r>
        <m:r>
          <m:t>g</m:t>
        </m:r>
        <m:r>
          <m:t>h</m:t>
        </m:r>
        <m:r>
          <m:t>l</m:t>
        </m:r>
        <m:r>
          <m:t>y</m:t>
        </m:r>
        <m:r>
          <m:rPr>
            <m:sty m:val="p"/>
          </m:rPr>
          <m:t>*</m:t>
        </m:r>
        <m:r>
          <m:rPr>
            <m:sty m:val="p"/>
          </m:rPr>
          <m:t>*</m:t>
        </m:r>
      </m:oMath>
      <w:r>
        <w:rPr>
          <w:b/>
          <w:bCs/>
        </w:rPr>
        <w:t xml:space="preserve">350M after tax</w:t>
      </w:r>
      <w:r>
        <w:t xml:space="preserve"> </w:t>
      </w:r>
      <w:r>
        <w:t xml:space="preserve">depending on Visa’s share price, for about half of its position. It has not yet committed to a use of proceeds.</w:t>
      </w:r>
    </w:p>
    <w:p>
      <w:pPr>
        <w:pStyle w:val="BodyText"/>
      </w:pPr>
      <w:r>
        <w:t xml:space="preserve">Items to watch:</w:t>
      </w:r>
    </w:p>
    <w:p>
      <w:pPr>
        <w:pStyle w:val="Compact"/>
        <w:numPr>
          <w:ilvl w:val="0"/>
          <w:numId w:val="1005"/>
        </w:numPr>
      </w:pPr>
      <w:r>
        <w:t xml:space="preserve">Whether 2Q repurchases remain robust after the stock’s appreciation.</w:t>
      </w:r>
    </w:p>
    <w:p>
      <w:pPr>
        <w:pStyle w:val="Compact"/>
        <w:numPr>
          <w:ilvl w:val="0"/>
          <w:numId w:val="1005"/>
        </w:numPr>
      </w:pPr>
      <w:r>
        <w:t xml:space="preserve">Any clarification on the Visa proceeds and whether they could supplement ordinary capital return.</w:t>
      </w:r>
    </w:p>
    <w:p>
      <w:pPr>
        <w:pStyle w:val="Compact"/>
        <w:numPr>
          <w:ilvl w:val="0"/>
          <w:numId w:val="1005"/>
        </w:numPr>
      </w:pPr>
      <w:r>
        <w:t xml:space="preserve">CET1 and leverage-ratio movement after 1Q pressure from higher risk-weighted assets and a larger balance sheet.</w:t>
      </w:r>
    </w:p>
    <w:p>
      <w:pPr>
        <w:pStyle w:val="Compact"/>
        <w:numPr>
          <w:ilvl w:val="0"/>
          <w:numId w:val="1005"/>
        </w:numPr>
      </w:pPr>
      <w:r>
        <w:t xml:space="preserve">Management’s current view of proposed capital rules; its preliminary view in April was that changes could be modestly favorable for NTRS.</w:t>
      </w:r>
    </w:p>
    <w:bookmarkEnd w:id="15"/>
    <w:bookmarkStart w:id="16" w:name="Xda890bc83f8aeeebe0bc270dccc24f63735cabb"/>
    <w:p>
      <w:pPr>
        <w:pStyle w:val="Heading2"/>
      </w:pPr>
      <w:r>
        <w:t xml:space="preserve">Credit should remain a secondary issue—but deserves monitoring</w:t>
      </w:r>
    </w:p>
    <w:p>
      <w:pPr>
        <w:pStyle w:val="FirstParagraph"/>
      </w:pPr>
      <w:r>
        <w:t xml:space="preserve">Credit quality remains a differentiator. NTRS’s loan book is relatively small versus its balance sheet, weighted toward investment-grade corporate exposure and secured wealth lending. In 1Q, the company recorded a</w:t>
      </w:r>
      <w:r>
        <w:t xml:space="preserve"> </w:t>
      </w:r>
      <w:r>
        <w:rPr>
          <w:b/>
          <w:bCs/>
        </w:rPr>
        <w:t xml:space="preserve">$3M reserve release</w:t>
      </w:r>
      <w:r>
        <w:t xml:space="preserve"> </w:t>
      </w:r>
      <w:r>
        <w:t xml:space="preserve">and ended with nonaccrual assets equal to just</w:t>
      </w:r>
      <w:r>
        <w:t xml:space="preserve"> </w:t>
      </w:r>
      <w:r>
        <w:rPr>
          <w:b/>
          <w:bCs/>
        </w:rPr>
        <w:t xml:space="preserve">0.13% of loans</w:t>
      </w:r>
      <w:r>
        <w:t xml:space="preserve">.</w:t>
      </w:r>
    </w:p>
    <w:p>
      <w:pPr>
        <w:pStyle w:val="BodyText"/>
      </w:pPr>
      <w:r>
        <w:t xml:space="preserve">The base case is for credit to remain benign. The principal risk is not traditional consumer-credit exposure, but deterioration in commercial/institutional borrowers, commercial real estate, or a worsening macro outlook that prompts reserve building.</w:t>
      </w:r>
    </w:p>
    <w:bookmarkEnd w:id="16"/>
    <w:bookmarkStart w:id="17" w:name="what-could-drive-a-positive-reaction"/>
    <w:p>
      <w:pPr>
        <w:pStyle w:val="Heading2"/>
      </w:pPr>
      <w:r>
        <w:t xml:space="preserve">What could drive a positive reaction</w:t>
      </w:r>
    </w:p>
    <w:p>
      <w:pPr>
        <w:pStyle w:val="Compact"/>
        <w:numPr>
          <w:ilvl w:val="0"/>
          <w:numId w:val="1006"/>
        </w:numPr>
      </w:pPr>
      <w:r>
        <w:rPr>
          <w:b/>
          <w:bCs/>
        </w:rPr>
        <w:t xml:space="preserve">NII resilience:</w:t>
      </w:r>
      <w:r>
        <w:t xml:space="preserve"> </w:t>
      </w:r>
      <w:r>
        <w:t xml:space="preserve">Deposit levels and NII remain better than feared after the temporary 1Q institutional balances normalize.</w:t>
      </w:r>
    </w:p>
    <w:p>
      <w:pPr>
        <w:pStyle w:val="Compact"/>
        <w:numPr>
          <w:ilvl w:val="0"/>
          <w:numId w:val="1006"/>
        </w:numPr>
      </w:pPr>
      <w:r>
        <w:rPr>
          <w:b/>
          <w:bCs/>
        </w:rPr>
        <w:t xml:space="preserve">Guide confirmation or increase:</w:t>
      </w:r>
      <w:r>
        <w:t xml:space="preserve"> </w:t>
      </w:r>
      <w:r>
        <w:t xml:space="preserve">Reaffirmation of mid- to high-single-digit NII growth and &gt;100 bps operating leverage would support confidence in 2026 earnings power.</w:t>
      </w:r>
    </w:p>
    <w:p>
      <w:pPr>
        <w:pStyle w:val="Compact"/>
        <w:numPr>
          <w:ilvl w:val="0"/>
          <w:numId w:val="1006"/>
        </w:numPr>
      </w:pPr>
      <w:r>
        <w:rPr>
          <w:b/>
          <w:bCs/>
        </w:rPr>
        <w:t xml:space="preserve">Fee growth stays near double digits:</w:t>
      </w:r>
      <w:r>
        <w:t xml:space="preserve"> </w:t>
      </w:r>
      <w:r>
        <w:t xml:space="preserve">Particularly if driven by net new business and broad Asset Servicing/Wealth momentum.</w:t>
      </w:r>
    </w:p>
    <w:p>
      <w:pPr>
        <w:pStyle w:val="Compact"/>
        <w:numPr>
          <w:ilvl w:val="0"/>
          <w:numId w:val="1006"/>
        </w:numPr>
      </w:pPr>
      <w:r>
        <w:rPr>
          <w:b/>
          <w:bCs/>
        </w:rPr>
        <w:t xml:space="preserve">Asset Servicing margins remain strong:</w:t>
      </w:r>
      <w:r>
        <w:t xml:space="preserve"> </w:t>
      </w:r>
      <w:r>
        <w:t xml:space="preserve">Even partial retention of 1Q’s outsized margin would reinforce the scalability thesis.</w:t>
      </w:r>
    </w:p>
    <w:p>
      <w:pPr>
        <w:pStyle w:val="Compact"/>
        <w:numPr>
          <w:ilvl w:val="0"/>
          <w:numId w:val="1006"/>
        </w:numPr>
      </w:pPr>
      <w:r>
        <w:rPr>
          <w:b/>
          <w:bCs/>
        </w:rPr>
        <w:t xml:space="preserve">Continued capital return:</w:t>
      </w:r>
      <w:r>
        <w:t xml:space="preserve"> </w:t>
      </w:r>
      <w:r>
        <w:t xml:space="preserve">Strong buybacks and any constructive Visa-proceeds commentary would be incremental positives.</w:t>
      </w:r>
    </w:p>
    <w:bookmarkEnd w:id="17"/>
    <w:bookmarkStart w:id="18" w:name="what-could-drive-a-negative-reaction"/>
    <w:p>
      <w:pPr>
        <w:pStyle w:val="Heading2"/>
      </w:pPr>
      <w:r>
        <w:t xml:space="preserve">What could drive a negative reaction</w:t>
      </w:r>
    </w:p>
    <w:p>
      <w:pPr>
        <w:pStyle w:val="Compact"/>
        <w:numPr>
          <w:ilvl w:val="0"/>
          <w:numId w:val="1007"/>
        </w:numPr>
      </w:pPr>
      <w:r>
        <w:rPr>
          <w:b/>
          <w:bCs/>
        </w:rPr>
        <w:t xml:space="preserve">A material NII reset:</w:t>
      </w:r>
      <w:r>
        <w:t xml:space="preserve"> </w:t>
      </w:r>
      <w:r>
        <w:t xml:space="preserve">Especially if temporary deposits roll off faster than expected or management turns more cautious on the full-year outlook.</w:t>
      </w:r>
    </w:p>
    <w:p>
      <w:pPr>
        <w:pStyle w:val="Compact"/>
        <w:numPr>
          <w:ilvl w:val="0"/>
          <w:numId w:val="1007"/>
        </w:numPr>
      </w:pPr>
      <w:r>
        <w:rPr>
          <w:b/>
          <w:bCs/>
        </w:rPr>
        <w:t xml:space="preserve">Capital-markets normalization:</w:t>
      </w:r>
      <w:r>
        <w:t xml:space="preserve"> </w:t>
      </w:r>
      <w:r>
        <w:t xml:space="preserve">A decline in FX and trading income could expose the extent to which 1Q earnings benefited from volatility.</w:t>
      </w:r>
    </w:p>
    <w:p>
      <w:pPr>
        <w:pStyle w:val="Compact"/>
        <w:numPr>
          <w:ilvl w:val="0"/>
          <w:numId w:val="1007"/>
        </w:numPr>
      </w:pPr>
      <w:r>
        <w:rPr>
          <w:b/>
          <w:bCs/>
        </w:rPr>
        <w:t xml:space="preserve">Expense creep:</w:t>
      </w:r>
      <w:r>
        <w:t xml:space="preserve"> </w:t>
      </w:r>
      <w:r>
        <w:t xml:space="preserve">Growth investments, cybersecurity remediation, cloud modernization, and AI could pressure margins if productivity does not offset them.</w:t>
      </w:r>
    </w:p>
    <w:p>
      <w:pPr>
        <w:pStyle w:val="Compact"/>
        <w:numPr>
          <w:ilvl w:val="0"/>
          <w:numId w:val="1007"/>
        </w:numPr>
      </w:pPr>
      <w:r>
        <w:rPr>
          <w:b/>
          <w:bCs/>
        </w:rPr>
        <w:t xml:space="preserve">Weaker markets or flows:</w:t>
      </w:r>
      <w:r>
        <w:t xml:space="preserve"> </w:t>
      </w:r>
      <w:r>
        <w:t xml:space="preserve">Lower asset values would flow through fee revenue with a lag.</w:t>
      </w:r>
    </w:p>
    <w:p>
      <w:pPr>
        <w:pStyle w:val="Compact"/>
        <w:numPr>
          <w:ilvl w:val="0"/>
          <w:numId w:val="1007"/>
        </w:numPr>
      </w:pPr>
      <w:r>
        <w:rPr>
          <w:b/>
          <w:bCs/>
        </w:rPr>
        <w:t xml:space="preserve">Less convincing capital deployment:</w:t>
      </w:r>
      <w:r>
        <w:t xml:space="preserve"> </w:t>
      </w:r>
      <w:r>
        <w:t xml:space="preserve">A slower buyback pace or unexpected regulatory-capital pressure would reduce a key support to per-share earnings.</w:t>
      </w:r>
    </w:p>
    <w:bookmarkEnd w:id="18"/>
    <w:bookmarkStart w:id="20" w:name="bottom-line"/>
    <w:p>
      <w:pPr>
        <w:pStyle w:val="Heading2"/>
      </w:pPr>
      <w:r>
        <w:t xml:space="preserve">Bottom line</w:t>
      </w:r>
    </w:p>
    <w:p>
      <w:pPr>
        <w:pStyle w:val="FirstParagraph"/>
      </w:pPr>
      <w:r>
        <w:t xml:space="preserve">NTRS has shifted from a turnaround/execution story to a</w:t>
      </w:r>
      <w:r>
        <w:t xml:space="preserve"> </w:t>
      </w:r>
      <w:r>
        <w:rPr>
          <w:b/>
          <w:bCs/>
        </w:rPr>
        <w:t xml:space="preserve">proof-of-durability</w:t>
      </w:r>
      <w:r>
        <w:t xml:space="preserve"> </w:t>
      </w:r>
      <w:r>
        <w:t xml:space="preserve">story. The franchise enters 2Q with real momentum: growing fee businesses, improved profitability, a record NII base, strong capital return, and an increasingly credible productivity agenda.</w:t>
      </w:r>
    </w:p>
    <w:p>
      <w:pPr>
        <w:pStyle w:val="BodyText"/>
      </w:pPr>
      <w:r>
        <w:t xml:space="preserve">However, 1Q also benefited from a notably favorable environment—large institutional deposits, healthy market levels, and volatility-fueled capital-markets revenue. For the stock to work after its run into earnings, management likely needs to show that the normalization of those tailwinds is manageable and that the company can maintain its upgraded NII outlook and positive operating leverage while continuing to invest for growth.</w:t>
      </w:r>
    </w:p>
    <w:bookmarkStart w:id="19" w:name="earnings-call-checklist"/>
    <w:p>
      <w:pPr>
        <w:pStyle w:val="Heading3"/>
      </w:pPr>
      <w:r>
        <w:t xml:space="preserve">Earnings-call checklist</w:t>
      </w:r>
    </w:p>
    <w:p>
      <w:pPr>
        <w:pStyle w:val="Compact"/>
        <w:numPr>
          <w:ilvl w:val="0"/>
          <w:numId w:val="1008"/>
        </w:numPr>
      </w:pPr>
      <w:r>
        <w:t xml:space="preserve">Is full-year</w:t>
      </w:r>
      <w:r>
        <w:t xml:space="preserve"> </w:t>
      </w:r>
      <w:r>
        <w:rPr>
          <w:b/>
          <w:bCs/>
        </w:rPr>
        <w:t xml:space="preserve">NII growth guidance</w:t>
      </w:r>
      <w:r>
        <w:t xml:space="preserve"> </w:t>
      </w:r>
      <w:r>
        <w:t xml:space="preserve">reaffirmed at mid- to high-single digits?</w:t>
      </w:r>
    </w:p>
    <w:p>
      <w:pPr>
        <w:pStyle w:val="Compact"/>
        <w:numPr>
          <w:ilvl w:val="0"/>
          <w:numId w:val="1008"/>
        </w:numPr>
      </w:pPr>
      <w:r>
        <w:t xml:space="preserve">How much of the 1Q</w:t>
      </w:r>
      <w:r>
        <w:t xml:space="preserve"> </w:t>
      </w:r>
      <w:r>
        <w:rPr>
          <w:b/>
          <w:bCs/>
        </w:rPr>
        <w:t xml:space="preserve">deposit surge</w:t>
      </w:r>
      <w:r>
        <w:t xml:space="preserve"> </w:t>
      </w:r>
      <w:r>
        <w:t xml:space="preserve">remained in 2Q?</w:t>
      </w:r>
    </w:p>
    <w:p>
      <w:pPr>
        <w:pStyle w:val="Compact"/>
        <w:numPr>
          <w:ilvl w:val="0"/>
          <w:numId w:val="1008"/>
        </w:numPr>
      </w:pPr>
      <w:r>
        <w:t xml:space="preserve">Are</w:t>
      </w:r>
      <w:r>
        <w:t xml:space="preserve"> </w:t>
      </w:r>
      <w:r>
        <w:rPr>
          <w:b/>
          <w:bCs/>
        </w:rPr>
        <w:t xml:space="preserve">Asset Servicing and Wealth</w:t>
      </w:r>
      <w:r>
        <w:t xml:space="preserve"> </w:t>
      </w:r>
      <w:r>
        <w:t xml:space="preserve">both still producing positive organic growth?</w:t>
      </w:r>
    </w:p>
    <w:p>
      <w:pPr>
        <w:pStyle w:val="Compact"/>
        <w:numPr>
          <w:ilvl w:val="0"/>
          <w:numId w:val="1008"/>
        </w:numPr>
      </w:pPr>
      <w:r>
        <w:t xml:space="preserve">Does management still expect</w:t>
      </w:r>
      <w:r>
        <w:t xml:space="preserve"> </w:t>
      </w:r>
      <w:r>
        <w:rPr>
          <w:b/>
          <w:bCs/>
        </w:rPr>
        <w:t xml:space="preserve">expenses to trend lower</w:t>
      </w:r>
      <w:r>
        <w:t xml:space="preserve"> </w:t>
      </w:r>
      <w:r>
        <w:t xml:space="preserve">over the rest of 2026?</w:t>
      </w:r>
    </w:p>
    <w:p>
      <w:pPr>
        <w:pStyle w:val="Compact"/>
        <w:numPr>
          <w:ilvl w:val="0"/>
          <w:numId w:val="1008"/>
        </w:numPr>
      </w:pPr>
      <w:r>
        <w:t xml:space="preserve">Are FX/trading revenues still elevated, and how sustainable does management view them?</w:t>
      </w:r>
    </w:p>
    <w:p>
      <w:pPr>
        <w:pStyle w:val="Compact"/>
        <w:numPr>
          <w:ilvl w:val="0"/>
          <w:numId w:val="1008"/>
        </w:numPr>
      </w:pPr>
      <w:r>
        <w:t xml:space="preserve">What is the updated outlook for</w:t>
      </w:r>
      <w:r>
        <w:t xml:space="preserve"> </w:t>
      </w:r>
      <w:r>
        <w:rPr>
          <w:b/>
          <w:bCs/>
        </w:rPr>
        <w:t xml:space="preserve">capital return</w:t>
      </w:r>
      <w:r>
        <w:t xml:space="preserve"> </w:t>
      </w:r>
      <w:r>
        <w:t xml:space="preserve">and Visa-share proceeds?</w:t>
      </w:r>
    </w:p>
    <w:p>
      <w:pPr>
        <w:pStyle w:val="Compact"/>
        <w:numPr>
          <w:ilvl w:val="0"/>
          <w:numId w:val="1008"/>
        </w:numPr>
      </w:pPr>
      <w:r>
        <w:t xml:space="preserve">Is the firm still targeting at least</w:t>
      </w:r>
      <w:r>
        <w:t xml:space="preserve"> </w:t>
      </w:r>
      <w:r>
        <w:rPr>
          <w:b/>
          <w:bCs/>
        </w:rPr>
        <w:t xml:space="preserve">100% payout of ordinary earnings</w:t>
      </w:r>
      <w:r>
        <w:t xml:space="preserve"> </w:t>
      </w:r>
      <w:r>
        <w:t xml:space="preserve">for 2026?</w:t>
      </w:r>
    </w:p>
    <w:p>
      <w:pPr>
        <w:pStyle w:val="FirstParagraph"/>
      </w:pPr>
      <w:r>
        <w:rPr>
          <w:i/>
          <w:iCs/>
        </w:rPr>
        <w:t xml:space="preserve">Sources reviewed: Northern Trust 1Q26 earnings release and earnings-call transcript; Northern Trust presentation at the Morgan Stanley U.S. Financials Conference on June 9, 2026; NTRS historical-price data through July 21,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2026-07-22T00:20:19Z</dcterms:created>
  <dcterms:modified xsi:type="dcterms:W3CDTF">2026-07-22T00:20:19Z</dcterms:modified>
</cp:coreProperties>
</file>

<file path=docProps/custom.xml><?xml version="1.0" encoding="utf-8"?>
<Properties xmlns="http://schemas.openxmlformats.org/officeDocument/2006/custom-properties" xmlns:vt="http://schemas.openxmlformats.org/officeDocument/2006/docPropsVTypes"/>
</file>