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Northern Trust Corporation (NTRS)</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Earnings Date</w:t>
            </w:r>
          </w:p>
        </w:tc>
        <w:tc>
          <w:tcPr>
            <w:tcW w:type="dxa" w:w="2160"/>
          </w:tcPr>
          <w:p>
            <w:r>
              <w:rPr>
                <w:rFonts w:ascii="Calibri" w:hAnsi="Calibri"/>
                <w:sz w:val="22"/>
              </w:rPr>
              <w:t>July 22, 2026 (Pre-Market)</w:t>
            </w:r>
          </w:p>
        </w:tc>
        <w:tc>
          <w:tcPr>
            <w:tcW w:type="dxa" w:w="2160"/>
          </w:tcPr>
          <w:p>
            <w:r>
              <w:rPr>
                <w:rFonts w:ascii="Calibri" w:hAnsi="Calibri"/>
                <w:b/>
                <w:sz w:val="22"/>
              </w:rPr>
              <w:t>Prepared</w:t>
            </w:r>
          </w:p>
        </w:tc>
        <w:tc>
          <w:tcPr>
            <w:tcW w:type="dxa" w:w="2160"/>
          </w:tcPr>
          <w:p>
            <w:r>
              <w:rPr>
                <w:rFonts w:ascii="Calibri" w:hAnsi="Calibri"/>
                <w:sz w:val="22"/>
              </w:rPr>
              <w:t>July 21, 2026</w:t>
            </w:r>
          </w:p>
        </w:tc>
      </w:tr>
      <w:tr>
        <w:tc>
          <w:tcPr>
            <w:tcW w:type="dxa" w:w="2160"/>
          </w:tcPr>
          <w:p>
            <w:r>
              <w:rPr>
                <w:rFonts w:ascii="Calibri" w:hAnsi="Calibri"/>
                <w:b/>
                <w:sz w:val="22"/>
              </w:rPr>
              <w:t>Reporting Period</w:t>
            </w:r>
          </w:p>
        </w:tc>
        <w:tc>
          <w:tcPr>
            <w:tcW w:type="dxa" w:w="2160"/>
          </w:tcPr>
          <w:p>
            <w:r>
              <w:rPr>
                <w:rFonts w:ascii="Calibri" w:hAnsi="Calibri"/>
                <w:sz w:val="22"/>
              </w:rPr>
              <w:t>Q2 2026 (ending June 30, 2026)</w:t>
            </w:r>
          </w:p>
        </w:tc>
        <w:tc>
          <w:tcPr>
            <w:tcW w:type="dxa" w:w="2160"/>
          </w:tcPr>
          <w:p>
            <w:r>
              <w:rPr>
                <w:rFonts w:ascii="Calibri" w:hAnsi="Calibri"/>
                <w:b/>
                <w:sz w:val="22"/>
              </w:rPr>
              <w:t>Sector ETF Benchmark</w:t>
            </w:r>
          </w:p>
        </w:tc>
        <w:tc>
          <w:tcPr>
            <w:tcW w:type="dxa" w:w="2160"/>
          </w:tcPr>
          <w:p>
            <w:r>
              <w:rPr>
                <w:rFonts w:ascii="Calibri" w:hAnsi="Calibri"/>
                <w:sz w:val="22"/>
              </w:rPr>
              <w:t>KBE (SPDR S&amp;P Bank ETF)</w:t>
            </w:r>
          </w:p>
        </w:tc>
      </w:tr>
      <w:tr>
        <w:tc>
          <w:tcPr>
            <w:tcW w:type="dxa" w:w="2160"/>
          </w:tcPr>
          <w:p>
            <w:r>
              <w:rPr>
                <w:rFonts w:ascii="Calibri" w:hAnsi="Calibri"/>
                <w:b/>
                <w:sz w:val="22"/>
              </w:rPr>
              <w:t>Last Earnings</w:t>
            </w:r>
          </w:p>
        </w:tc>
        <w:tc>
          <w:tcPr>
            <w:tcW w:type="dxa" w:w="2160"/>
          </w:tcPr>
          <w:p>
            <w:r>
              <w:rPr>
                <w:rFonts w:ascii="Calibri" w:hAnsi="Calibri"/>
                <w:sz w:val="22"/>
              </w:rPr>
              <w:t>April 21, 2026 (Q1 2026)</w:t>
            </w:r>
          </w:p>
        </w:tc>
        <w:tc>
          <w:tcPr>
            <w:tcW w:type="dxa" w:w="2160"/>
          </w:tcPr>
          <w:p>
            <w:r>
              <w:rPr>
                <w:rFonts w:ascii="Calibri" w:hAnsi="Calibri"/>
                <w:b/>
                <w:sz w:val="22"/>
              </w:rPr>
              <w:t>Primary Valuation KPI</w:t>
            </w:r>
          </w:p>
        </w:tc>
        <w:tc>
          <w:tcPr>
            <w:tcW w:type="dxa" w:w="2160"/>
          </w:tcPr>
          <w:p>
            <w:r>
              <w:rPr>
                <w:rFonts w:ascii="Calibri" w:hAnsi="Calibri"/>
                <w:sz w:val="22"/>
              </w:rPr>
              <w:t>Operating EPS (P/E: 15.3x NTM)</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peers have already confirmed a Goldilocks operating environment, and NTRS's own CFO characterized Q2 conditions as "very conducive" with full conviction in all prior guidance; the biggest swing factor is whether elevated institutional deposits from Q1 partially persist into Q2 NII.</w:t>
      </w:r>
    </w:p>
    <w:p>
      <w:r>
        <w:rPr>
          <w:rFonts w:ascii="Calibri" w:hAnsi="Calibri"/>
          <w:color w:val="525866"/>
          <w:sz w:val="22"/>
        </w:rPr>
        <w:t xml:space="preserve">Heading into Q2 2026 earnings, the bar for Northern Trust appears achievable but not trivial — consensus operating EPS of $2.70 implies roughly flat sequential performance versus Q1's $2.71 beat, even as management guided for expenses to trend lower through the year and NII to grow mid-to-high single digits for the full year. </w:t>
      </w:r>
      <w:r>
        <w:rPr>
          <w:rFonts w:ascii="Calibri" w:hAnsi="Calibri"/>
          <w:color w:val="525866"/>
          <w:sz w:val="22"/>
        </w:rPr>
        <w:t xml:space="preserve">Management's tone has been unambiguously constructive: at the June 9 Morgan Stanley Financials Conference, CFO Dave Fox described Q2 conditions as a "Goldilocks-type situation" and stated that "everything I said last time still holds, and my conviction is still there," providing unusually explicit mid-quarter reassurance. </w:t>
      </w:r>
      <w:r>
        <w:rPr>
          <w:rFonts w:ascii="Calibri" w:hAnsi="Calibri"/>
          <w:color w:val="525866"/>
          <w:sz w:val="22"/>
        </w:rPr>
        <w:t xml:space="preserve">Estimate revisions have moved sharply higher — the June consensus EPS estimate jumped to $4.21 from $2.53 in May, reflecting a Visa Class B share gain that inflates the reported figure, though the underlying operating trajectory is also improving. </w:t>
      </w:r>
      <w:r>
        <w:rPr>
          <w:rFonts w:ascii="Calibri" w:hAnsi="Calibri"/>
          <w:color w:val="525866"/>
          <w:sz w:val="22"/>
        </w:rPr>
        <w:t xml:space="preserve">The stock has rallied ~7.8% since last earnings (April 21) versus KBE +8.4% and SPY +6.3%, suggesting NTRS has broadly kept pace with the sector rather than pricing in a standalone beat, leaving room for upside if NII and fee momentum surprise. </w:t>
      </w:r>
      <w:r>
        <w:rPr>
          <w:rFonts w:ascii="Calibri" w:hAnsi="Calibri"/>
          <w:color w:val="525866"/>
          <w:sz w:val="22"/>
        </w:rPr>
        <w:t>The key wildcard is deposit sustainability: Q1 saw an unusual ~$9 billion surge in institutional deposits that management expected to retain only $4–5 billion of into Q2 — if actual retention exceeded that range, NII could surprise to the upside; if deposits normalized more sharply, NII could disappoint relative to the upgraded full-year guide.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operating EPS ($2.70 vs. Q1's $2.71 actual) and NII ($653M, up ~1% sequentially), while asset servicing fees ($746M) and total AUC ($15.5T) reflect continued market-level tailwinds. </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w:t>
            </w:r>
          </w:p>
        </w:tc>
        <w:tc>
          <w:tcPr>
            <w:tcW w:type="dxa" w:w="1234"/>
          </w:tcPr>
          <w:p>
            <w:r>
              <w:rPr>
                <w:rFonts w:ascii="Calibri" w:hAnsi="Calibri"/>
                <w:sz w:val="22"/>
              </w:rPr>
              <w:t>$2.71</w:t>
            </w:r>
          </w:p>
        </w:tc>
        <w:tc>
          <w:tcPr>
            <w:tcW w:type="dxa" w:w="1234"/>
          </w:tcPr>
          <w:p>
            <w:r>
              <w:rPr>
                <w:rFonts w:ascii="Calibri" w:hAnsi="Calibri"/>
                <w:sz w:val="22"/>
              </w:rPr>
              <w:t>$2.13</w:t>
            </w:r>
          </w:p>
        </w:tc>
        <w:tc>
          <w:tcPr>
            <w:tcW w:type="dxa" w:w="1234"/>
          </w:tcPr>
          <w:p>
            <w:r>
              <w:rPr>
                <w:rFonts w:ascii="Calibri" w:hAnsi="Calibri"/>
                <w:sz w:val="22"/>
              </w:rPr>
              <w:t>$2.70</w:t>
            </w:r>
          </w:p>
        </w:tc>
        <w:tc>
          <w:tcPr>
            <w:tcW w:type="dxa" w:w="1234"/>
          </w:tcPr>
          <w:p>
            <w:r>
              <w:rPr>
                <w:rFonts w:ascii="Calibri" w:hAnsi="Calibri"/>
                <w:sz w:val="22"/>
              </w:rPr>
              <w:t>+26.8%</w:t>
            </w:r>
          </w:p>
        </w:tc>
        <w:tc>
          <w:tcPr>
            <w:tcW w:type="dxa" w:w="1234"/>
          </w:tcPr>
          <w:p>
            <w:r>
              <w:rPr>
                <w:rFonts w:ascii="Calibri" w:hAnsi="Calibri"/>
                <w:sz w:val="22"/>
              </w:rPr>
              <w:t>&gt;100bps op. leverage; ~$11.11 FY</w:t>
            </w:r>
          </w:p>
        </w:tc>
        <w:tc>
          <w:tcPr>
            <w:tcW w:type="dxa" w:w="1234"/>
          </w:tcPr>
          <w:p>
            <w:r>
              <w:rPr>
                <w:rFonts w:ascii="Calibri" w:hAnsi="Calibri"/>
                <w:sz w:val="22"/>
              </w:rPr>
              <w:t>In line with FY trajectory</w:t>
            </w:r>
          </w:p>
        </w:tc>
      </w:tr>
      <w:tr>
        <w:tc>
          <w:tcPr>
            <w:tcW w:type="dxa" w:w="1234"/>
          </w:tcPr>
          <w:p>
            <w:r>
              <w:rPr>
                <w:rFonts w:ascii="Calibri" w:hAnsi="Calibri"/>
                <w:sz w:val="22"/>
              </w:rPr>
              <w:t>Total Revenue, Net of Interest Expense ($M)</w:t>
            </w:r>
          </w:p>
        </w:tc>
        <w:tc>
          <w:tcPr>
            <w:tcW w:type="dxa" w:w="1234"/>
          </w:tcPr>
          <w:p>
            <w:r>
              <w:rPr>
                <w:rFonts w:ascii="Calibri" w:hAnsi="Calibri"/>
                <w:sz w:val="22"/>
              </w:rPr>
              <w:t>$2,205.6M</w:t>
            </w:r>
          </w:p>
        </w:tc>
        <w:tc>
          <w:tcPr>
            <w:tcW w:type="dxa" w:w="1234"/>
          </w:tcPr>
          <w:p>
            <w:r>
              <w:rPr>
                <w:rFonts w:ascii="Calibri" w:hAnsi="Calibri"/>
                <w:sz w:val="22"/>
              </w:rPr>
              <w:t>$1,997.9M</w:t>
            </w:r>
          </w:p>
        </w:tc>
        <w:tc>
          <w:tcPr>
            <w:tcW w:type="dxa" w:w="1234"/>
          </w:tcPr>
          <w:p>
            <w:r>
              <w:rPr>
                <w:rFonts w:ascii="Calibri" w:hAnsi="Calibri"/>
                <w:sz w:val="22"/>
              </w:rPr>
              <w:t>$2,485.5M*</w:t>
            </w:r>
          </w:p>
        </w:tc>
        <w:tc>
          <w:tcPr>
            <w:tcW w:type="dxa" w:w="1234"/>
          </w:tcPr>
          <w:p>
            <w:r>
              <w:rPr>
                <w:rFonts w:ascii="Calibri" w:hAnsi="Calibri"/>
                <w:sz w:val="22"/>
              </w:rPr>
              <w:t>+24.4%</w:t>
            </w:r>
          </w:p>
        </w:tc>
        <w:tc>
          <w:tcPr>
            <w:tcW w:type="dxa" w:w="1234"/>
          </w:tcPr>
          <w:p>
            <w:r>
              <w:rPr>
                <w:rFonts w:ascii="Calibri" w:hAnsi="Calibri"/>
                <w:sz w:val="22"/>
              </w:rPr>
              <w:t>Positive op. leverage &gt;100bps</w:t>
            </w:r>
          </w:p>
        </w:tc>
        <w:tc>
          <w:tcPr>
            <w:tcW w:type="dxa" w:w="1234"/>
          </w:tcPr>
          <w:p>
            <w:r>
              <w:rPr>
                <w:rFonts w:ascii="Calibri" w:hAnsi="Calibri"/>
                <w:sz w:val="22"/>
              </w:rPr>
              <w:t>Elevated vs. run-rate (Visa gain)</w:t>
            </w:r>
          </w:p>
        </w:tc>
      </w:tr>
      <w:tr>
        <w:tc>
          <w:tcPr>
            <w:tcW w:type="dxa" w:w="1234"/>
          </w:tcPr>
          <w:p>
            <w:r>
              <w:rPr>
                <w:rFonts w:ascii="Calibri" w:hAnsi="Calibri"/>
                <w:sz w:val="22"/>
              </w:rPr>
              <w:t>Net Interest Income ($M)</w:t>
            </w:r>
          </w:p>
        </w:tc>
        <w:tc>
          <w:tcPr>
            <w:tcW w:type="dxa" w:w="1234"/>
          </w:tcPr>
          <w:p>
            <w:r>
              <w:rPr>
                <w:rFonts w:ascii="Calibri" w:hAnsi="Calibri"/>
                <w:sz w:val="22"/>
              </w:rPr>
              <w:t>$654.0M</w:t>
            </w:r>
          </w:p>
        </w:tc>
        <w:tc>
          <w:tcPr>
            <w:tcW w:type="dxa" w:w="1234"/>
          </w:tcPr>
          <w:p>
            <w:r>
              <w:rPr>
                <w:rFonts w:ascii="Calibri" w:hAnsi="Calibri"/>
                <w:sz w:val="22"/>
              </w:rPr>
              <w:t>$610.5M</w:t>
            </w:r>
          </w:p>
        </w:tc>
        <w:tc>
          <w:tcPr>
            <w:tcW w:type="dxa" w:w="1234"/>
          </w:tcPr>
          <w:p>
            <w:r>
              <w:rPr>
                <w:rFonts w:ascii="Calibri" w:hAnsi="Calibri"/>
                <w:sz w:val="22"/>
              </w:rPr>
              <w:t>$652.8M</w:t>
            </w:r>
          </w:p>
        </w:tc>
        <w:tc>
          <w:tcPr>
            <w:tcW w:type="dxa" w:w="1234"/>
          </w:tcPr>
          <w:p>
            <w:r>
              <w:rPr>
                <w:rFonts w:ascii="Calibri" w:hAnsi="Calibri"/>
                <w:sz w:val="22"/>
              </w:rPr>
              <w:t>+6.9%</w:t>
            </w:r>
          </w:p>
        </w:tc>
        <w:tc>
          <w:tcPr>
            <w:tcW w:type="dxa" w:w="1234"/>
          </w:tcPr>
          <w:p>
            <w:r>
              <w:rPr>
                <w:rFonts w:ascii="Calibri" w:hAnsi="Calibri"/>
                <w:sz w:val="22"/>
              </w:rPr>
              <w:t>Mid-to-high single digit FY growth</w:t>
            </w:r>
          </w:p>
        </w:tc>
        <w:tc>
          <w:tcPr>
            <w:tcW w:type="dxa" w:w="1234"/>
          </w:tcPr>
          <w:p>
            <w:r>
              <w:rPr>
                <w:rFonts w:ascii="Calibri" w:hAnsi="Calibri"/>
                <w:sz w:val="22"/>
              </w:rPr>
              <w:t>~Flat seq.; tracking guidance</w:t>
            </w:r>
          </w:p>
        </w:tc>
      </w:tr>
      <w:tr>
        <w:tc>
          <w:tcPr>
            <w:tcW w:type="dxa" w:w="1234"/>
          </w:tcPr>
          <w:p>
            <w:r>
              <w:rPr>
                <w:rFonts w:ascii="Calibri" w:hAnsi="Calibri"/>
                <w:sz w:val="22"/>
              </w:rPr>
              <w:t>Asset Servicing Fees ($M)</w:t>
            </w:r>
          </w:p>
        </w:tc>
        <w:tc>
          <w:tcPr>
            <w:tcW w:type="dxa" w:w="1234"/>
          </w:tcPr>
          <w:p>
            <w:r>
              <w:rPr>
                <w:rFonts w:ascii="Calibri" w:hAnsi="Calibri"/>
                <w:sz w:val="22"/>
              </w:rPr>
              <w:t>$740.5M</w:t>
            </w:r>
          </w:p>
        </w:tc>
        <w:tc>
          <w:tcPr>
            <w:tcW w:type="dxa" w:w="1234"/>
          </w:tcPr>
          <w:p>
            <w:r>
              <w:rPr>
                <w:rFonts w:ascii="Calibri" w:hAnsi="Calibri"/>
                <w:sz w:val="22"/>
              </w:rPr>
              <w:t>$691.8M</w:t>
            </w:r>
          </w:p>
        </w:tc>
        <w:tc>
          <w:tcPr>
            <w:tcW w:type="dxa" w:w="1234"/>
          </w:tcPr>
          <w:p>
            <w:r>
              <w:rPr>
                <w:rFonts w:ascii="Calibri" w:hAnsi="Calibri"/>
                <w:sz w:val="22"/>
              </w:rPr>
              <w:t>$746.2M</w:t>
            </w:r>
          </w:p>
        </w:tc>
        <w:tc>
          <w:tcPr>
            <w:tcW w:type="dxa" w:w="1234"/>
          </w:tcPr>
          <w:p>
            <w:r>
              <w:rPr>
                <w:rFonts w:ascii="Calibri" w:hAnsi="Calibri"/>
                <w:sz w:val="22"/>
              </w:rPr>
              <w:t>+7.9%</w:t>
            </w:r>
          </w:p>
        </w:tc>
        <w:tc>
          <w:tcPr>
            <w:tcW w:type="dxa" w:w="1234"/>
          </w:tcPr>
          <w:p>
            <w:r>
              <w:rPr>
                <w:rFonts w:ascii="Calibri" w:hAnsi="Calibri"/>
                <w:sz w:val="22"/>
              </w:rPr>
              <w:t>Organic growth &gt;3% target</w:t>
            </w:r>
          </w:p>
        </w:tc>
        <w:tc>
          <w:tcPr>
            <w:tcW w:type="dxa" w:w="1234"/>
          </w:tcPr>
          <w:p>
            <w:r>
              <w:rPr>
                <w:rFonts w:ascii="Calibri" w:hAnsi="Calibri"/>
                <w:sz w:val="22"/>
              </w:rPr>
              <w:t>Slightly above prior-year pace</w:t>
            </w:r>
          </w:p>
        </w:tc>
      </w:tr>
      <w:tr>
        <w:tc>
          <w:tcPr>
            <w:tcW w:type="dxa" w:w="1234"/>
          </w:tcPr>
          <w:p>
            <w:r>
              <w:rPr>
                <w:rFonts w:ascii="Calibri" w:hAnsi="Calibri"/>
                <w:sz w:val="22"/>
              </w:rPr>
              <w:t>Total Operating Expenses ($M)</w:t>
            </w:r>
          </w:p>
        </w:tc>
        <w:tc>
          <w:tcPr>
            <w:tcW w:type="dxa" w:w="1234"/>
          </w:tcPr>
          <w:p>
            <w:r>
              <w:rPr>
                <w:rFonts w:ascii="Calibri" w:hAnsi="Calibri"/>
                <w:sz w:val="22"/>
              </w:rPr>
              <w:t>$1,508.0M</w:t>
            </w:r>
          </w:p>
        </w:tc>
        <w:tc>
          <w:tcPr>
            <w:tcW w:type="dxa" w:w="1234"/>
          </w:tcPr>
          <w:p>
            <w:r>
              <w:rPr>
                <w:rFonts w:ascii="Calibri" w:hAnsi="Calibri"/>
                <w:sz w:val="22"/>
              </w:rPr>
              <w:t>$1,416.6M</w:t>
            </w:r>
          </w:p>
        </w:tc>
        <w:tc>
          <w:tcPr>
            <w:tcW w:type="dxa" w:w="1234"/>
          </w:tcPr>
          <w:p>
            <w:r>
              <w:rPr>
                <w:rFonts w:ascii="Calibri" w:hAnsi="Calibri"/>
                <w:sz w:val="22"/>
              </w:rPr>
              <w:t>$1,495.4M</w:t>
            </w:r>
          </w:p>
        </w:tc>
        <w:tc>
          <w:tcPr>
            <w:tcW w:type="dxa" w:w="1234"/>
          </w:tcPr>
          <w:p>
            <w:r>
              <w:rPr>
                <w:rFonts w:ascii="Calibri" w:hAnsi="Calibri"/>
                <w:sz w:val="22"/>
              </w:rPr>
              <w:t>+5.6%</w:t>
            </w:r>
          </w:p>
        </w:tc>
        <w:tc>
          <w:tcPr>
            <w:tcW w:type="dxa" w:w="1234"/>
          </w:tcPr>
          <w:p>
            <w:r>
              <w:rPr>
                <w:rFonts w:ascii="Calibri" w:hAnsi="Calibri"/>
                <w:sz w:val="22"/>
              </w:rPr>
              <w:t>Expenses trending down rest of year</w:t>
            </w:r>
          </w:p>
        </w:tc>
        <w:tc>
          <w:tcPr>
            <w:tcW w:type="dxa" w:w="1234"/>
          </w:tcPr>
          <w:p>
            <w:r>
              <w:rPr>
                <w:rFonts w:ascii="Calibri" w:hAnsi="Calibri"/>
                <w:sz w:val="22"/>
              </w:rPr>
              <w:t>Consensus below Q1; on track</w:t>
            </w:r>
          </w:p>
        </w:tc>
      </w:tr>
      <w:tr>
        <w:tc>
          <w:tcPr>
            <w:tcW w:type="dxa" w:w="1234"/>
          </w:tcPr>
          <w:p>
            <w:r>
              <w:rPr>
                <w:rFonts w:ascii="Calibri" w:hAnsi="Calibri"/>
                <w:sz w:val="22"/>
              </w:rPr>
              <w:t>Total AUC ($T)</w:t>
            </w:r>
          </w:p>
        </w:tc>
        <w:tc>
          <w:tcPr>
            <w:tcW w:type="dxa" w:w="1234"/>
          </w:tcPr>
          <w:p>
            <w:r>
              <w:rPr>
                <w:rFonts w:ascii="Calibri" w:hAnsi="Calibri"/>
                <w:sz w:val="22"/>
              </w:rPr>
              <w:t>$14.78T</w:t>
            </w:r>
          </w:p>
        </w:tc>
        <w:tc>
          <w:tcPr>
            <w:tcW w:type="dxa" w:w="1234"/>
          </w:tcPr>
          <w:p>
            <w:r>
              <w:rPr>
                <w:rFonts w:ascii="Calibri" w:hAnsi="Calibri"/>
                <w:sz w:val="22"/>
              </w:rPr>
              <w:t>$14.24T</w:t>
            </w:r>
          </w:p>
        </w:tc>
        <w:tc>
          <w:tcPr>
            <w:tcW w:type="dxa" w:w="1234"/>
          </w:tcPr>
          <w:p>
            <w:r>
              <w:rPr>
                <w:rFonts w:ascii="Calibri" w:hAnsi="Calibri"/>
                <w:sz w:val="22"/>
              </w:rPr>
              <w:t>$15.50T</w:t>
            </w:r>
          </w:p>
        </w:tc>
        <w:tc>
          <w:tcPr>
            <w:tcW w:type="dxa" w:w="1234"/>
          </w:tcPr>
          <w:p>
            <w:r>
              <w:rPr>
                <w:rFonts w:ascii="Calibri" w:hAnsi="Calibri"/>
                <w:sz w:val="22"/>
              </w:rPr>
              <w:t>+8.8%</w:t>
            </w:r>
          </w:p>
        </w:tc>
        <w:tc>
          <w:tcPr>
            <w:tcW w:type="dxa" w:w="1234"/>
          </w:tcPr>
          <w:p>
            <w:r>
              <w:rPr>
                <w:rFonts w:ascii="Calibri" w:hAnsi="Calibri"/>
                <w:sz w:val="22"/>
              </w:rPr>
              <w:t>N/A (no explicit AUC guide)</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 xml:space="preserve">Visible Alpha Consensus and Actuals Data. *Q2 2026 total revenue consensus of $2,485.5M is elevated vs. the underlying run-rate due to inclusion of the Visa Class B share gain; operating EPS of $2.70 is the more relevant comparable. All VA-sourced figures: </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Top KPI #1: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$2.71</w:t>
            </w:r>
          </w:p>
        </w:tc>
        <w:tc>
          <w:tcPr>
            <w:tcW w:type="dxa" w:w="1728"/>
          </w:tcPr>
          <w:p>
            <w:r>
              <w:rPr>
                <w:rFonts w:ascii="Calibri" w:hAnsi="Calibri"/>
                <w:sz w:val="22"/>
              </w:rPr>
              <w:t>$2.33</w:t>
            </w:r>
          </w:p>
        </w:tc>
        <w:tc>
          <w:tcPr>
            <w:tcW w:type="dxa" w:w="1728"/>
          </w:tcPr>
          <w:p>
            <w:r>
              <w:rPr>
                <w:rFonts w:ascii="Calibri" w:hAnsi="Calibri"/>
                <w:b/>
                <w:color w:val="30A46C"/>
                <w:sz w:val="22"/>
              </w:rPr>
              <w:t>+16.3%</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$2.69</w:t>
            </w:r>
          </w:p>
        </w:tc>
        <w:tc>
          <w:tcPr>
            <w:tcW w:type="dxa" w:w="1728"/>
          </w:tcPr>
          <w:p>
            <w:r>
              <w:rPr>
                <w:rFonts w:ascii="Calibri" w:hAnsi="Calibri"/>
                <w:sz w:val="22"/>
              </w:rPr>
              <w:t>$2.38</w:t>
            </w:r>
          </w:p>
        </w:tc>
        <w:tc>
          <w:tcPr>
            <w:tcW w:type="dxa" w:w="1728"/>
          </w:tcPr>
          <w:p>
            <w:r>
              <w:rPr>
                <w:rFonts w:ascii="Calibri" w:hAnsi="Calibri"/>
                <w:b/>
                <w:color w:val="30A46C"/>
                <w:sz w:val="22"/>
              </w:rPr>
              <w:t>+13.0%</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$2.29</w:t>
            </w:r>
          </w:p>
        </w:tc>
        <w:tc>
          <w:tcPr>
            <w:tcW w:type="dxa" w:w="1728"/>
          </w:tcPr>
          <w:p>
            <w:r>
              <w:rPr>
                <w:rFonts w:ascii="Calibri" w:hAnsi="Calibri"/>
                <w:sz w:val="22"/>
              </w:rPr>
              <w:t>$2.24</w:t>
            </w:r>
          </w:p>
        </w:tc>
        <w:tc>
          <w:tcPr>
            <w:tcW w:type="dxa" w:w="1728"/>
          </w:tcPr>
          <w:p>
            <w:r>
              <w:rPr>
                <w:rFonts w:ascii="Calibri" w:hAnsi="Calibri"/>
                <w:b/>
                <w:color w:val="30A46C"/>
                <w:sz w:val="22"/>
              </w:rPr>
              <w:t>+2.2%</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$2.13</w:t>
            </w:r>
          </w:p>
        </w:tc>
        <w:tc>
          <w:tcPr>
            <w:tcW w:type="dxa" w:w="1728"/>
          </w:tcPr>
          <w:p>
            <w:r>
              <w:rPr>
                <w:rFonts w:ascii="Calibri" w:hAnsi="Calibri"/>
                <w:sz w:val="22"/>
              </w:rPr>
              <w:t>$2.09</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$1.90</w:t>
            </w:r>
          </w:p>
        </w:tc>
        <w:tc>
          <w:tcPr>
            <w:tcW w:type="dxa" w:w="1728"/>
          </w:tcPr>
          <w:p>
            <w:r>
              <w:rPr>
                <w:rFonts w:ascii="Calibri" w:hAnsi="Calibri"/>
                <w:sz w:val="22"/>
              </w:rPr>
              <w:t>$1.86</w:t>
            </w:r>
          </w:p>
        </w:tc>
        <w:tc>
          <w:tcPr>
            <w:tcW w:type="dxa" w:w="1728"/>
          </w:tcPr>
          <w:p>
            <w:r>
              <w:rPr>
                <w:rFonts w:ascii="Calibri" w:hAnsi="Calibri"/>
                <w:b/>
                <w:color w:val="30A46C"/>
                <w:sz w:val="22"/>
              </w:rPr>
              <w:t>+2.2%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$2.26</w:t>
            </w:r>
          </w:p>
        </w:tc>
        <w:tc>
          <w:tcPr>
            <w:tcW w:type="dxa" w:w="1728"/>
          </w:tcPr>
          <w:p>
            <w:r>
              <w:rPr>
                <w:rFonts w:ascii="Calibri" w:hAnsi="Calibri"/>
                <w:sz w:val="22"/>
              </w:rPr>
              <w:t>$2.04</w:t>
            </w:r>
          </w:p>
        </w:tc>
        <w:tc>
          <w:tcPr>
            <w:tcW w:type="dxa" w:w="1728"/>
          </w:tcPr>
          <w:p>
            <w:r>
              <w:rPr>
                <w:rFonts w:ascii="Calibri" w:hAnsi="Calibri"/>
                <w:b/>
                <w:color w:val="30A46C"/>
                <w:sz w:val="22"/>
              </w:rPr>
              <w:t>+10.8%</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$2.01</w:t>
            </w:r>
          </w:p>
        </w:tc>
        <w:tc>
          <w:tcPr>
            <w:tcW w:type="dxa" w:w="1728"/>
          </w:tcPr>
          <w:p>
            <w:r>
              <w:rPr>
                <w:rFonts w:ascii="Calibri" w:hAnsi="Calibri"/>
                <w:sz w:val="22"/>
              </w:rPr>
              <w:t>$1.76</w:t>
            </w:r>
          </w:p>
        </w:tc>
        <w:tc>
          <w:tcPr>
            <w:tcW w:type="dxa" w:w="1728"/>
          </w:tcPr>
          <w:p>
            <w:r>
              <w:rPr>
                <w:rFonts w:ascii="Calibri" w:hAnsi="Calibri"/>
                <w:b/>
                <w:color w:val="30A46C"/>
                <w:sz w:val="22"/>
              </w:rPr>
              <w:t>+14.2%</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Net Interest Income (NII)</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$654.0M</w:t>
            </w:r>
          </w:p>
        </w:tc>
        <w:tc>
          <w:tcPr>
            <w:tcW w:type="dxa" w:w="1728"/>
          </w:tcPr>
          <w:p>
            <w:r>
              <w:rPr>
                <w:rFonts w:ascii="Calibri" w:hAnsi="Calibri"/>
                <w:sz w:val="22"/>
              </w:rPr>
              <w:t>$622.1M</w:t>
            </w:r>
          </w:p>
        </w:tc>
        <w:tc>
          <w:tcPr>
            <w:tcW w:type="dxa" w:w="1728"/>
          </w:tcPr>
          <w:p>
            <w:r>
              <w:rPr>
                <w:rFonts w:ascii="Calibri" w:hAnsi="Calibri"/>
                <w:b/>
                <w:color w:val="30A46C"/>
                <w:sz w:val="22"/>
              </w:rPr>
              <w:t>+5.1%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$641.6M</w:t>
            </w:r>
          </w:p>
        </w:tc>
        <w:tc>
          <w:tcPr>
            <w:tcW w:type="dxa" w:w="1728"/>
          </w:tcPr>
          <w:p>
            <w:r>
              <w:rPr>
                <w:rFonts w:ascii="Calibri" w:hAnsi="Calibri"/>
                <w:sz w:val="22"/>
              </w:rPr>
              <w:t>$594.5M</w:t>
            </w:r>
          </w:p>
        </w:tc>
        <w:tc>
          <w:tcPr>
            <w:tcW w:type="dxa" w:w="1728"/>
          </w:tcPr>
          <w:p>
            <w:r>
              <w:rPr>
                <w:rFonts w:ascii="Calibri" w:hAnsi="Calibri"/>
                <w:b/>
                <w:color w:val="30A46C"/>
                <w:sz w:val="22"/>
              </w:rPr>
              <w:t>+7.9%</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$590.8M</w:t>
            </w:r>
          </w:p>
        </w:tc>
        <w:tc>
          <w:tcPr>
            <w:tcW w:type="dxa" w:w="1728"/>
          </w:tcPr>
          <w:p>
            <w:r>
              <w:rPr>
                <w:rFonts w:ascii="Calibri" w:hAnsi="Calibri"/>
                <w:sz w:val="22"/>
              </w:rPr>
              <w:t>$585.6M</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$610.5M</w:t>
            </w:r>
          </w:p>
        </w:tc>
        <w:tc>
          <w:tcPr>
            <w:tcW w:type="dxa" w:w="1728"/>
          </w:tcPr>
          <w:p>
            <w:r>
              <w:rPr>
                <w:rFonts w:ascii="Calibri" w:hAnsi="Calibri"/>
                <w:sz w:val="22"/>
              </w:rPr>
              <w:t>$578.5M</w:t>
            </w:r>
          </w:p>
        </w:tc>
        <w:tc>
          <w:tcPr>
            <w:tcW w:type="dxa" w:w="1728"/>
          </w:tcPr>
          <w:p>
            <w:r>
              <w:rPr>
                <w:rFonts w:ascii="Calibri" w:hAnsi="Calibri"/>
                <w:b/>
                <w:color w:val="30A46C"/>
                <w:sz w:val="22"/>
              </w:rPr>
              <w:t>+5.5%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$568.1M</w:t>
            </w:r>
          </w:p>
        </w:tc>
        <w:tc>
          <w:tcPr>
            <w:tcW w:type="dxa" w:w="1728"/>
          </w:tcPr>
          <w:p>
            <w:r>
              <w:rPr>
                <w:rFonts w:ascii="Calibri" w:hAnsi="Calibri"/>
                <w:sz w:val="22"/>
              </w:rPr>
              <w:t>$551.6M</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$563.8M</w:t>
            </w:r>
          </w:p>
        </w:tc>
        <w:tc>
          <w:tcPr>
            <w:tcW w:type="dxa" w:w="1728"/>
          </w:tcPr>
          <w:p>
            <w:r>
              <w:rPr>
                <w:rFonts w:ascii="Calibri" w:hAnsi="Calibri"/>
                <w:sz w:val="22"/>
              </w:rPr>
              <w:t>$551.6M</w:t>
            </w:r>
          </w:p>
        </w:tc>
        <w:tc>
          <w:tcPr>
            <w:tcW w:type="dxa" w:w="1728"/>
          </w:tcPr>
          <w:p>
            <w:r>
              <w:rPr>
                <w:rFonts w:ascii="Calibri" w:hAnsi="Calibri"/>
                <w:b/>
                <w:color w:val="30A46C"/>
                <w:sz w:val="22"/>
              </w:rPr>
              <w:t>+2.2%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$562.3M</w:t>
            </w:r>
          </w:p>
        </w:tc>
        <w:tc>
          <w:tcPr>
            <w:tcW w:type="dxa" w:w="1728"/>
          </w:tcPr>
          <w:p>
            <w:r>
              <w:rPr>
                <w:rFonts w:ascii="Calibri" w:hAnsi="Calibri"/>
                <w:sz w:val="22"/>
              </w:rPr>
              <w:t>$525.1M</w:t>
            </w:r>
          </w:p>
        </w:tc>
        <w:tc>
          <w:tcPr>
            <w:tcW w:type="dxa" w:w="1728"/>
          </w:tcPr>
          <w:p>
            <w:r>
              <w:rPr>
                <w:rFonts w:ascii="Calibri" w:hAnsi="Calibri"/>
                <w:b/>
                <w:color w:val="30A46C"/>
                <w:sz w:val="22"/>
              </w:rPr>
              <w:t>+7.1%</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NTRS has beaten operating EPS consensus in every reported quarter over the trailing seven quarters, with an average surprise of approximately +7–8%; NII beats have been consistent and widening, reflecting management's conservative guidance posture and the structural tailwind from elevated institutional deposits.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NII guidance at Q1 earnings (from low-to-mid to mid-to-high single digit growth) and confirmed at the June Morgan Stanley conference that all guidance remains intact with full conviction; no post-earnings revisions to any other metric, and tone has shifted from cautious to explicitly confident.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NII Growth</w:t>
            </w:r>
          </w:p>
        </w:tc>
        <w:tc>
          <w:tcPr>
            <w:tcW w:type="dxa" w:w="1728"/>
          </w:tcPr>
          <w:p>
            <w:r>
              <w:rPr>
                <w:rFonts w:ascii="Calibri" w:hAnsi="Calibri"/>
                <w:sz w:val="22"/>
              </w:rPr>
              <w:t>Mid-to-high single digits YoY (upgraded from low-to-mid at Q4 2025 earnings)</w:t>
            </w:r>
          </w:p>
        </w:tc>
        <w:tc>
          <w:tcPr>
            <w:tcW w:type="dxa" w:w="1728"/>
          </w:tcPr>
          <w:p>
            <w:r>
              <w:rPr>
                <w:rFonts w:ascii="Calibri" w:hAnsi="Calibri"/>
                <w:sz w:val="22"/>
              </w:rPr>
              <w:t>—</w:t>
            </w:r>
          </w:p>
        </w:tc>
        <w:tc>
          <w:tcPr>
            <w:tcW w:type="dxa" w:w="1728"/>
          </w:tcPr>
          <w:p>
            <w:r>
              <w:rPr>
                <w:rFonts w:ascii="Calibri" w:hAnsi="Calibri"/>
                <w:sz w:val="22"/>
              </w:rPr>
              <w:t>~$2.64B FY2026 (+6.3% YoY implied)</w:t>
            </w:r>
          </w:p>
        </w:tc>
        <w:tc>
          <w:tcPr>
            <w:tcW w:type="dxa" w:w="1728"/>
          </w:tcPr>
          <w:p>
            <w:r>
              <w:rPr>
                <w:rFonts w:ascii="Calibri" w:hAnsi="Calibri"/>
                <w:sz w:val="22"/>
              </w:rPr>
              <w:t>Confirmed unchanged at Morgan Stanley Conference, Jun 9, 2026; CFO stated "NII strategy is still there"</w:t>
            </w:r>
          </w:p>
        </w:tc>
      </w:tr>
      <w:tr>
        <w:tc>
          <w:tcPr>
            <w:tcW w:type="dxa" w:w="1728"/>
          </w:tcPr>
          <w:p>
            <w:r>
              <w:rPr>
                <w:rFonts w:ascii="Calibri" w:hAnsi="Calibri"/>
                <w:sz w:val="22"/>
              </w:rPr>
              <w:t>Operating Leverage (FY2026)</w:t>
            </w:r>
          </w:p>
        </w:tc>
        <w:tc>
          <w:tcPr>
            <w:tcW w:type="dxa" w:w="1728"/>
          </w:tcPr>
          <w:p>
            <w:r>
              <w:rPr>
                <w:rFonts w:ascii="Calibri" w:hAnsi="Calibri"/>
                <w:sz w:val="22"/>
              </w:rPr>
              <w:t>&gt;100 bps positive operating leverage</w:t>
            </w:r>
          </w:p>
        </w:tc>
        <w:tc>
          <w:tcPr>
            <w:tcW w:type="dxa" w:w="1728"/>
          </w:tcPr>
          <w:p>
            <w:r>
              <w:rPr>
                <w:rFonts w:ascii="Calibri" w:hAnsi="Calibri"/>
                <w:sz w:val="22"/>
              </w:rPr>
              <w:t>—</w:t>
            </w:r>
          </w:p>
        </w:tc>
        <w:tc>
          <w:tcPr>
            <w:tcW w:type="dxa" w:w="1728"/>
          </w:tcPr>
          <w:p>
            <w:r>
              <w:rPr>
                <w:rFonts w:ascii="Calibri" w:hAnsi="Calibri"/>
                <w:sz w:val="22"/>
              </w:rPr>
              <w:t>Consensus implies ~200+ bps based on revenue/expense trajectory</w:t>
            </w:r>
          </w:p>
        </w:tc>
        <w:tc>
          <w:tcPr>
            <w:tcW w:type="dxa" w:w="1728"/>
          </w:tcPr>
          <w:p>
            <w:r>
              <w:rPr>
                <w:rFonts w:ascii="Calibri" w:hAnsi="Calibri"/>
                <w:sz w:val="22"/>
              </w:rPr>
              <w:t>Confirmed at Jun 9 conference; CFO reiterated "obviously, we gave the guidance above, obviously, 1%"</w:t>
            </w:r>
          </w:p>
        </w:tc>
      </w:tr>
      <w:tr>
        <w:tc>
          <w:tcPr>
            <w:tcW w:type="dxa" w:w="1728"/>
          </w:tcPr>
          <w:p>
            <w:r>
              <w:rPr>
                <w:rFonts w:ascii="Calibri" w:hAnsi="Calibri"/>
                <w:sz w:val="22"/>
              </w:rPr>
              <w:t>Expense Trajectory</w:t>
            </w:r>
          </w:p>
        </w:tc>
        <w:tc>
          <w:tcPr>
            <w:tcW w:type="dxa" w:w="1728"/>
          </w:tcPr>
          <w:p>
            <w:r>
              <w:rPr>
                <w:rFonts w:ascii="Calibri" w:hAnsi="Calibri"/>
                <w:sz w:val="22"/>
              </w:rPr>
              <w:t>"Direction of travel on expenses is down for the remainder of the year"</w:t>
            </w:r>
          </w:p>
        </w:tc>
        <w:tc>
          <w:tcPr>
            <w:tcW w:type="dxa" w:w="1728"/>
          </w:tcPr>
          <w:p>
            <w:r>
              <w:rPr>
                <w:rFonts w:ascii="Calibri" w:hAnsi="Calibri"/>
                <w:sz w:val="22"/>
              </w:rPr>
              <w:t>—</w:t>
            </w:r>
          </w:p>
        </w:tc>
        <w:tc>
          <w:tcPr>
            <w:tcW w:type="dxa" w:w="1728"/>
          </w:tcPr>
          <w:p>
            <w:r>
              <w:rPr>
                <w:rFonts w:ascii="Calibri" w:hAnsi="Calibri"/>
                <w:sz w:val="22"/>
              </w:rPr>
              <w:t>$1,495M Q2 consensus (below Q1's $1,508M)</w:t>
            </w:r>
          </w:p>
        </w:tc>
        <w:tc>
          <w:tcPr>
            <w:tcW w:type="dxa" w:w="1728"/>
          </w:tcPr>
          <w:p>
            <w:r>
              <w:rPr>
                <w:rFonts w:ascii="Calibri" w:hAnsi="Calibri"/>
                <w:sz w:val="22"/>
              </w:rPr>
              <w:t>No change; consensus reflects management's stated downward trajectory</w:t>
            </w:r>
          </w:p>
        </w:tc>
      </w:tr>
      <w:tr>
        <w:tc>
          <w:tcPr>
            <w:tcW w:type="dxa" w:w="1728"/>
          </w:tcPr>
          <w:p>
            <w:r>
              <w:rPr>
                <w:rFonts w:ascii="Calibri" w:hAnsi="Calibri"/>
                <w:sz w:val="22"/>
              </w:rPr>
              <w:t>Capital Return (FY2026)</w:t>
            </w:r>
          </w:p>
        </w:tc>
        <w:tc>
          <w:tcPr>
            <w:tcW w:type="dxa" w:w="1728"/>
          </w:tcPr>
          <w:p>
            <w:r>
              <w:rPr>
                <w:rFonts w:ascii="Calibri" w:hAnsi="Calibri"/>
                <w:sz w:val="22"/>
              </w:rPr>
              <w:t>At least 100% of earnings payout ratio (excl. Visa gain)</w:t>
            </w:r>
          </w:p>
        </w:tc>
        <w:tc>
          <w:tcPr>
            <w:tcW w:type="dxa" w:w="1728"/>
          </w:tcPr>
          <w:p>
            <w:r>
              <w:rPr>
                <w:rFonts w:ascii="Calibri" w:hAnsi="Calibri"/>
                <w:sz w:val="22"/>
              </w:rPr>
              <w:t>—</w:t>
            </w:r>
          </w:p>
        </w:tc>
        <w:tc>
          <w:tcPr>
            <w:tcW w:type="dxa" w:w="1728"/>
          </w:tcPr>
          <w:p>
            <w:r>
              <w:rPr>
                <w:rFonts w:ascii="Calibri" w:hAnsi="Calibri"/>
                <w:sz w:val="22"/>
              </w:rPr>
              <w:t>N/A (not modeled by consensus)</w:t>
            </w:r>
          </w:p>
        </w:tc>
        <w:tc>
          <w:tcPr>
            <w:tcW w:type="dxa" w:w="1728"/>
          </w:tcPr>
          <w:p>
            <w:r>
              <w:rPr>
                <w:rFonts w:ascii="Calibri" w:hAnsi="Calibri"/>
                <w:sz w:val="22"/>
              </w:rPr>
              <w:t>CFO confirmed at Jun 9 conference that 100% payout target explicitly excludes Visa Class B gain; Visa deployment decision still pending</w:t>
            </w:r>
          </w:p>
        </w:tc>
      </w:tr>
      <w:tr>
        <w:tc>
          <w:tcPr>
            <w:tcW w:type="dxa" w:w="1728"/>
          </w:tcPr>
          <w:p>
            <w:r>
              <w:rPr>
                <w:rFonts w:ascii="Calibri" w:hAnsi="Calibri"/>
                <w:sz w:val="22"/>
              </w:rPr>
              <w:t>Q2 Average Deposits</w:t>
            </w:r>
          </w:p>
        </w:tc>
        <w:tc>
          <w:tcPr>
            <w:tcW w:type="dxa" w:w="1728"/>
          </w:tcPr>
          <w:p>
            <w:r>
              <w:rPr>
                <w:rFonts w:ascii="Calibri" w:hAnsi="Calibri"/>
                <w:sz w:val="22"/>
              </w:rPr>
              <w:t>Retain $4–5B of the ~$9B Q1 surge; deposits expected to moderate</w:t>
            </w:r>
          </w:p>
        </w:tc>
        <w:tc>
          <w:tcPr>
            <w:tcW w:type="dxa" w:w="1728"/>
          </w:tcPr>
          <w:p>
            <w:r>
              <w:rPr>
                <w:rFonts w:ascii="Calibri" w:hAnsi="Calibri"/>
                <w:sz w:val="22"/>
              </w:rPr>
              <w:t>—</w:t>
            </w:r>
          </w:p>
        </w:tc>
        <w:tc>
          <w:tcPr>
            <w:tcW w:type="dxa" w:w="1728"/>
          </w:tcPr>
          <w:p>
            <w:r>
              <w:rPr>
                <w:rFonts w:ascii="Calibri" w:hAnsi="Calibri"/>
                <w:sz w:val="22"/>
              </w:rPr>
              <w:t>NII consensus of $653M implies modest sequential decline from $654M</w:t>
            </w:r>
          </w:p>
        </w:tc>
        <w:tc>
          <w:tcPr>
            <w:tcW w:type="dxa" w:w="1728"/>
          </w:tcPr>
          <w:p>
            <w:r>
              <w:rPr>
                <w:rFonts w:ascii="Calibri" w:hAnsi="Calibri"/>
                <w:sz w:val="22"/>
              </w:rPr>
              <w:t>Key swing factor for Q2 NII; CFO noted deposits "coming in a little better" at Jun 9 conference</w:t>
            </w:r>
          </w:p>
        </w:tc>
      </w:tr>
      <w:tr>
        <w:tc>
          <w:tcPr>
            <w:tcW w:type="dxa" w:w="1728"/>
          </w:tcPr>
          <w:p>
            <w:r>
              <w:rPr>
                <w:rFonts w:ascii="Calibri" w:hAnsi="Calibri"/>
                <w:sz w:val="22"/>
              </w:rPr>
              <w:t>Effective Tax Rate (FY2026)</w:t>
            </w:r>
          </w:p>
        </w:tc>
        <w:tc>
          <w:tcPr>
            <w:tcW w:type="dxa" w:w="1728"/>
          </w:tcPr>
          <w:p>
            <w:r>
              <w:rPr>
                <w:rFonts w:ascii="Calibri" w:hAnsi="Calibri"/>
                <w:sz w:val="22"/>
              </w:rPr>
              <w:t>~26% to 26.5%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Q1 was 25% (benefited from share-based comp); Q2 likely reverts toward guided range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operating EPS have risen ~2.1% since the Q1 print baseline, while FY2026 EPS has risen ~2.2%, both tracking above the initial guidance floor; NII estimates are also modestly higher, consistent with the upgraded mid-to-high single digit growth guide. The gap between consensus and guidance represents cushion, not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(Apr 28, 2026 —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$2.64</w:t>
            </w:r>
          </w:p>
        </w:tc>
        <w:tc>
          <w:tcPr>
            <w:tcW w:type="dxa" w:w="1080"/>
          </w:tcPr>
          <w:p>
            <w:r>
              <w:rPr>
                <w:rFonts w:ascii="Calibri" w:hAnsi="Calibri"/>
                <w:sz w:val="22"/>
              </w:rPr>
              <w:t>$2.70</w:t>
            </w:r>
          </w:p>
        </w:tc>
        <w:tc>
          <w:tcPr>
            <w:tcW w:type="dxa" w:w="1080"/>
          </w:tcPr>
          <w:p>
            <w:r>
              <w:rPr>
                <w:rFonts w:ascii="Calibri" w:hAnsi="Calibri"/>
                <w:b/>
                <w:color w:val="30A46C"/>
                <w:sz w:val="22"/>
              </w:rPr>
              <w:t>+2.3%</w:t>
            </w:r>
          </w:p>
        </w:tc>
        <w:tc>
          <w:tcPr>
            <w:tcW w:type="dxa" w:w="1080"/>
          </w:tcPr>
          <w:p>
            <w:r>
              <w:rPr>
                <w:rFonts w:ascii="Calibri" w:hAnsi="Calibri"/>
                <w:sz w:val="22"/>
              </w:rPr>
              <w:t>No explicit Q2 EPS guide</w:t>
            </w:r>
          </w:p>
        </w:tc>
        <w:tc>
          <w:tcPr>
            <w:tcW w:type="dxa" w:w="1080"/>
          </w:tcPr>
          <w:p>
            <w:r>
              <w:rPr>
                <w:rFonts w:ascii="Calibri" w:hAnsi="Calibri"/>
                <w:sz w:val="22"/>
              </w:rPr>
              <w:t>No explicit Q2 EPS guide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$10.86</w:t>
            </w:r>
          </w:p>
        </w:tc>
        <w:tc>
          <w:tcPr>
            <w:tcW w:type="dxa" w:w="1080"/>
          </w:tcPr>
          <w:p>
            <w:r>
              <w:rPr>
                <w:rFonts w:ascii="Calibri" w:hAnsi="Calibri"/>
                <w:sz w:val="22"/>
              </w:rPr>
              <w:t>$11.11</w:t>
            </w:r>
          </w:p>
        </w:tc>
        <w:tc>
          <w:tcPr>
            <w:tcW w:type="dxa" w:w="1080"/>
          </w:tcPr>
          <w:p>
            <w:r>
              <w:rPr>
                <w:rFonts w:ascii="Calibri" w:hAnsi="Calibri"/>
                <w:b/>
                <w:color w:val="30A46C"/>
                <w:sz w:val="22"/>
              </w:rPr>
              <w:t>+2.3%</w:t>
            </w:r>
          </w:p>
        </w:tc>
        <w:tc>
          <w:tcPr>
            <w:tcW w:type="dxa" w:w="1080"/>
          </w:tcPr>
          <w:p>
            <w:r>
              <w:rPr>
                <w:rFonts w:ascii="Calibri" w:hAnsi="Calibri"/>
                <w:sz w:val="22"/>
              </w:rPr>
              <w:t>&gt;100bps op. leverage (no explicit EPS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implies ~200bps+ op. leverage vs. &gt;100bps guide — cushion</w:t>
            </w:r>
          </w:p>
        </w:tc>
      </w:tr>
      <w:tr>
        <w:tc>
          <w:tcPr>
            <w:tcW w:type="dxa" w:w="1080"/>
          </w:tcPr>
          <w:p>
            <w:r>
              <w:rPr>
                <w:rFonts w:ascii="Calibri" w:hAnsi="Calibri"/>
                <w:sz w:val="22"/>
              </w:rPr>
              <w:t>NII — Q2 2026</w:t>
            </w:r>
          </w:p>
        </w:tc>
        <w:tc>
          <w:tcPr>
            <w:tcW w:type="dxa" w:w="1080"/>
          </w:tcPr>
          <w:p>
            <w:r>
              <w:rPr>
                <w:rFonts w:ascii="Calibri" w:hAnsi="Calibri"/>
                <w:sz w:val="22"/>
              </w:rPr>
              <w:t>$650.1M</w:t>
            </w:r>
          </w:p>
        </w:tc>
        <w:tc>
          <w:tcPr>
            <w:tcW w:type="dxa" w:w="1080"/>
          </w:tcPr>
          <w:p>
            <w:r>
              <w:rPr>
                <w:rFonts w:ascii="Calibri" w:hAnsi="Calibri"/>
                <w:sz w:val="22"/>
              </w:rPr>
              <w:t>$652.8M</w:t>
            </w:r>
          </w:p>
        </w:tc>
        <w:tc>
          <w:tcPr>
            <w:tcW w:type="dxa" w:w="1080"/>
          </w:tcPr>
          <w:p>
            <w:r>
              <w:rPr>
                <w:rFonts w:ascii="Calibri" w:hAnsi="Calibri"/>
                <w:b/>
                <w:color w:val="30A46C"/>
                <w:sz w:val="22"/>
              </w:rPr>
              <w:t>+0.4%</w:t>
            </w:r>
          </w:p>
        </w:tc>
        <w:tc>
          <w:tcPr>
            <w:tcW w:type="dxa" w:w="1080"/>
          </w:tcPr>
          <w:p>
            <w:r>
              <w:rPr>
                <w:rFonts w:ascii="Calibri" w:hAnsi="Calibri"/>
                <w:sz w:val="22"/>
              </w:rPr>
              <w:t>Retain $4–5B of Q1 deposit surge; moderate seq.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~flat seq. vs. Q1's $654M; consistent with guidance</w:t>
            </w:r>
          </w:p>
        </w:tc>
      </w:tr>
      <w:tr>
        <w:tc>
          <w:tcPr>
            <w:tcW w:type="dxa" w:w="1080"/>
          </w:tcPr>
          <w:p>
            <w:r>
              <w:rPr>
                <w:rFonts w:ascii="Calibri" w:hAnsi="Calibri"/>
                <w:sz w:val="22"/>
              </w:rPr>
              <w:t>NII — FY2026</w:t>
            </w:r>
          </w:p>
        </w:tc>
        <w:tc>
          <w:tcPr>
            <w:tcW w:type="dxa" w:w="1080"/>
          </w:tcPr>
          <w:p>
            <w:r>
              <w:rPr>
                <w:rFonts w:ascii="Calibri" w:hAnsi="Calibri"/>
                <w:sz w:val="22"/>
              </w:rPr>
              <w:t>$2,625.8M</w:t>
            </w:r>
          </w:p>
        </w:tc>
        <w:tc>
          <w:tcPr>
            <w:tcW w:type="dxa" w:w="1080"/>
          </w:tcPr>
          <w:p>
            <w:r>
              <w:rPr>
                <w:rFonts w:ascii="Calibri" w:hAnsi="Calibri"/>
                <w:sz w:val="22"/>
              </w:rPr>
              <w:t>$2,641.7M</w:t>
            </w:r>
          </w:p>
        </w:tc>
        <w:tc>
          <w:tcPr>
            <w:tcW w:type="dxa" w:w="1080"/>
          </w:tcPr>
          <w:p>
            <w:r>
              <w:rPr>
                <w:rFonts w:ascii="Calibri" w:hAnsi="Calibri"/>
                <w:b/>
                <w:color w:val="30A46C"/>
                <w:sz w:val="22"/>
              </w:rPr>
              <w:t>+0.6%</w:t>
            </w:r>
          </w:p>
        </w:tc>
        <w:tc>
          <w:tcPr>
            <w:tcW w:type="dxa" w:w="1080"/>
          </w:tcPr>
          <w:p>
            <w:r>
              <w:rPr>
                <w:rFonts w:ascii="Calibri" w:hAnsi="Calibri"/>
                <w:sz w:val="22"/>
              </w:rPr>
              <w:t>Mid-to-high single digit growth (prev. low-to-mid)</w:t>
            </w:r>
          </w:p>
        </w:tc>
        <w:tc>
          <w:tcPr>
            <w:tcW w:type="dxa" w:w="1080"/>
          </w:tcPr>
          <w:p>
            <w:r>
              <w:rPr>
                <w:rFonts w:ascii="Calibri" w:hAnsi="Calibri"/>
                <w:sz w:val="22"/>
              </w:rPr>
              <w:t>Unchanged (confirmed Jun 9)</w:t>
            </w:r>
          </w:p>
        </w:tc>
        <w:tc>
          <w:tcPr>
            <w:tcW w:type="dxa" w:w="1080"/>
          </w:tcPr>
          <w:p>
            <w:r>
              <w:rPr>
                <w:rFonts w:ascii="Calibri" w:hAnsi="Calibri"/>
                <w:sz w:val="22"/>
              </w:rPr>
              <w:t>—</w:t>
            </w:r>
          </w:p>
        </w:tc>
        <w:tc>
          <w:tcPr>
            <w:tcW w:type="dxa" w:w="1080"/>
          </w:tcPr>
          <w:p>
            <w:r>
              <w:rPr>
                <w:rFonts w:ascii="Calibri" w:hAnsi="Calibri"/>
                <w:sz w:val="22"/>
              </w:rPr>
              <w:t>+6.3% YoY implied — within mid-to-high single digit range</w:t>
            </w:r>
          </w:p>
        </w:tc>
      </w:tr>
      <w:tr>
        <w:tc>
          <w:tcPr>
            <w:tcW w:type="dxa" w:w="1080"/>
          </w:tcPr>
          <w:p>
            <w:r>
              <w:rPr>
                <w:rFonts w:ascii="Calibri" w:hAnsi="Calibri"/>
                <w:sz w:val="22"/>
              </w:rPr>
              <w:t>Asset Servicing Fees — Q2 2026</w:t>
            </w:r>
          </w:p>
        </w:tc>
        <w:tc>
          <w:tcPr>
            <w:tcW w:type="dxa" w:w="1080"/>
          </w:tcPr>
          <w:p>
            <w:r>
              <w:rPr>
                <w:rFonts w:ascii="Calibri" w:hAnsi="Calibri"/>
                <w:sz w:val="22"/>
              </w:rPr>
              <w:t>$736.5M</w:t>
            </w:r>
          </w:p>
        </w:tc>
        <w:tc>
          <w:tcPr>
            <w:tcW w:type="dxa" w:w="1080"/>
          </w:tcPr>
          <w:p>
            <w:r>
              <w:rPr>
                <w:rFonts w:ascii="Calibri" w:hAnsi="Calibri"/>
                <w:sz w:val="22"/>
              </w:rPr>
              <w:t>$746.2M</w:t>
            </w:r>
          </w:p>
        </w:tc>
        <w:tc>
          <w:tcPr>
            <w:tcW w:type="dxa" w:w="1080"/>
          </w:tcPr>
          <w:p>
            <w:r>
              <w:rPr>
                <w:rFonts w:ascii="Calibri" w:hAnsi="Calibri"/>
                <w:b/>
                <w:color w:val="30A46C"/>
                <w:sz w:val="22"/>
              </w:rPr>
              <w:t>+1.3%</w:t>
            </w:r>
          </w:p>
        </w:tc>
        <w:tc>
          <w:tcPr>
            <w:tcW w:type="dxa" w:w="1080"/>
          </w:tcPr>
          <w:p>
            <w:r>
              <w:rPr>
                <w:rFonts w:ascii="Calibri" w:hAnsi="Calibri"/>
                <w:sz w:val="22"/>
              </w:rPr>
              <w:t>Organic growth &gt;3%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+7.9% YoY — well above 3% organic target</w:t>
            </w:r>
          </w:p>
        </w:tc>
      </w:tr>
      <w:tr>
        <w:tc>
          <w:tcPr>
            <w:tcW w:type="dxa" w:w="1080"/>
          </w:tcPr>
          <w:p>
            <w:r>
              <w:rPr>
                <w:rFonts w:ascii="Calibri" w:hAnsi="Calibri"/>
                <w:sz w:val="22"/>
              </w:rPr>
              <w:t>Total Op. Expenses — FY2026</w:t>
            </w:r>
          </w:p>
        </w:tc>
        <w:tc>
          <w:tcPr>
            <w:tcW w:type="dxa" w:w="1080"/>
          </w:tcPr>
          <w:p>
            <w:r>
              <w:rPr>
                <w:rFonts w:ascii="Calibri" w:hAnsi="Calibri"/>
                <w:sz w:val="22"/>
              </w:rPr>
              <w:t>$5,997.9M</w:t>
            </w:r>
          </w:p>
        </w:tc>
        <w:tc>
          <w:tcPr>
            <w:tcW w:type="dxa" w:w="1080"/>
          </w:tcPr>
          <w:p>
            <w:r>
              <w:rPr>
                <w:rFonts w:ascii="Calibri" w:hAnsi="Calibri"/>
                <w:sz w:val="22"/>
              </w:rPr>
              <w:t>$6,031.5M</w:t>
            </w:r>
          </w:p>
        </w:tc>
        <w:tc>
          <w:tcPr>
            <w:tcW w:type="dxa" w:w="1080"/>
          </w:tcPr>
          <w:p>
            <w:r>
              <w:rPr>
                <w:rFonts w:ascii="Calibri" w:hAnsi="Calibri"/>
                <w:b/>
                <w:color w:val="E5484D"/>
                <w:sz w:val="22"/>
              </w:rPr>
              <w:t>+0.6%</w:t>
            </w:r>
          </w:p>
        </w:tc>
        <w:tc>
          <w:tcPr>
            <w:tcW w:type="dxa" w:w="1080"/>
          </w:tcPr>
          <w:p>
            <w:r>
              <w:rPr>
                <w:rFonts w:ascii="Calibri" w:hAnsi="Calibri"/>
                <w:sz w:val="22"/>
              </w:rPr>
              <w:t>Expenses trending down rest of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slightly above post-Q1 baseline; modest upward drift but still consistent with op. leverage target</w:t>
            </w:r>
          </w:p>
        </w:tc>
      </w:tr>
    </w:tbl>
    <w:p>
      <w:r>
        <w:rPr>
          <w:rFonts w:ascii="Calibri" w:hAnsi="Calibri"/>
          <w:color w:val="525866"/>
          <w:sz w:val="22"/>
        </w:rPr>
        <w:t>Source: Visible Alpha Consensus and Actuals Data. Post-Q1 baseline uses consensus as of April 28, 2026 (5 trading days after April 21 print). Estimate revisions are uniformly positive across all key KPIs, with NII and EPS tracking at or above the upgraded guidance range — the revision trajectory supports a constructive setup.</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NTRS has gained ~7.8% since Q1 earnings (April 21), broadly in line with KBE (+8.4%) and ahead of SPY (+6.3%), suggesting the stock has not materially re-rated on a standalone basis — the move is predominantly multiple expansion driven by book value re-rating (+19.6% over 6 months) rather than earnings revisions, leaving room for a positive reaction if Q2 results confirm the profitability trajectory.</w:t>
      </w:r>
    </w:p>
    <w:p>
      <w:r>
        <w:rPr>
          <w:rFonts w:ascii="Calibri" w:hAnsi="Calibri"/>
          <w:color w:val="525866"/>
          <w:sz w:val="22"/>
        </w:rPr>
        <w:t>Since the Q1 2026 earnings print on April 21, 2026, NTRS has tracked closely with the banking sector ETF (KBE), with both benefiting from the broad financial sector rally driven by strong Q2 bank earnings from peers (BNY Mellon, State Street, Goldman Sachs, JPMorgan). The stock reached an intra-period high of ~$191 on July 15 (the day BNY Mellon reported blowout Q2 results) before pulling back modestly to ~$185 as of July 21. The 12-month performance decomposition shows that 34% of the +44.7% 12-month gain is attributable to P/Book multiple expansion (from 1.92x to 2.58x), with the remainder driven by earnings growth — a pattern that is durable if the profitability improvement is structural. The NTM P/E of 15.3x is roughly in line with custody bank peers and represents a modest premium to NTRS's own historical average, suggesting the stock is fairly valued heading into the print with upside contingent on a beat.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NTRS Price Return</w:t>
            </w:r>
          </w:p>
        </w:tc>
        <w:tc>
          <w:tcPr>
            <w:tcW w:type="dxa" w:w="1728"/>
            <w:shd w:val="clear" w:color="auto" w:fill="3B4259"/>
          </w:tcPr>
          <w:p>
            <w:r>
              <w:rPr>
                <w:rFonts w:ascii="Calibri" w:hAnsi="Calibri"/>
                <w:b/>
                <w:color w:val="FFFFFF"/>
                <w:sz w:val="22"/>
              </w:rPr>
              <w:t>KBE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NTRS vs. KBE</w:t>
            </w:r>
          </w:p>
        </w:tc>
      </w:tr>
      <w:tr>
        <w:tc>
          <w:tcPr>
            <w:tcW w:type="dxa" w:w="1728"/>
          </w:tcPr>
          <w:p>
            <w:r>
              <w:rPr>
                <w:rFonts w:ascii="Calibri" w:hAnsi="Calibri"/>
                <w:sz w:val="22"/>
              </w:rPr>
              <w:t>Since Q1 Earnings (Apr 21 → Jul 21)</w:t>
            </w:r>
          </w:p>
        </w:tc>
        <w:tc>
          <w:tcPr>
            <w:tcW w:type="dxa" w:w="1728"/>
          </w:tcPr>
          <w:p>
            <w:r>
              <w:rPr>
                <w:rFonts w:ascii="Calibri" w:hAnsi="Calibri"/>
                <w:sz w:val="22"/>
              </w:rPr>
              <w:t>+7.8%</w:t>
            </w:r>
          </w:p>
        </w:tc>
        <w:tc>
          <w:tcPr>
            <w:tcW w:type="dxa" w:w="1728"/>
          </w:tcPr>
          <w:p>
            <w:r>
              <w:rPr>
                <w:rFonts w:ascii="Calibri" w:hAnsi="Calibri"/>
                <w:sz w:val="22"/>
              </w:rPr>
              <w:t>+8.4%</w:t>
            </w:r>
          </w:p>
        </w:tc>
        <w:tc>
          <w:tcPr>
            <w:tcW w:type="dxa" w:w="1728"/>
          </w:tcPr>
          <w:p>
            <w:r>
              <w:rPr>
                <w:rFonts w:ascii="Calibri" w:hAnsi="Calibri"/>
                <w:sz w:val="22"/>
              </w:rPr>
              <w:t>+6.3%</w:t>
            </w:r>
          </w:p>
        </w:tc>
        <w:tc>
          <w:tcPr>
            <w:tcW w:type="dxa" w:w="1728"/>
          </w:tcPr>
          <w:p>
            <w:r>
              <w:rPr>
                <w:rFonts w:ascii="Calibri" w:hAnsi="Calibri"/>
                <w:sz w:val="22"/>
              </w:rPr>
              <w:t>-0.6%</w:t>
            </w:r>
          </w:p>
        </w:tc>
      </w:tr>
      <w:tr>
        <w:tc>
          <w:tcPr>
            <w:tcW w:type="dxa" w:w="1728"/>
          </w:tcPr>
          <w:p>
            <w:r>
              <w:rPr>
                <w:rFonts w:ascii="Calibri" w:hAnsi="Calibri"/>
                <w:sz w:val="22"/>
              </w:rPr>
              <w:t>1 Month</w:t>
            </w:r>
          </w:p>
        </w:tc>
        <w:tc>
          <w:tcPr>
            <w:tcW w:type="dxa" w:w="1728"/>
          </w:tcPr>
          <w:p>
            <w:r>
              <w:rPr>
                <w:rFonts w:ascii="Calibri" w:hAnsi="Calibri"/>
                <w:sz w:val="22"/>
              </w:rPr>
              <w:t>+7.5%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3 Month</w:t>
            </w:r>
          </w:p>
        </w:tc>
        <w:tc>
          <w:tcPr>
            <w:tcW w:type="dxa" w:w="1728"/>
          </w:tcPr>
          <w:p>
            <w:r>
              <w:rPr>
                <w:rFonts w:ascii="Calibri" w:hAnsi="Calibri"/>
                <w:sz w:val="22"/>
              </w:rPr>
              <w:t>+16.4%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12 Month</w:t>
            </w:r>
          </w:p>
        </w:tc>
        <w:tc>
          <w:tcPr>
            <w:tcW w:type="dxa" w:w="1728"/>
          </w:tcPr>
          <w:p>
            <w:r>
              <w:rPr>
                <w:rFonts w:ascii="Calibri" w:hAnsi="Calibri"/>
                <w:sz w:val="22"/>
              </w:rPr>
              <w:t>+44.7%</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NTM P/E (current)</w:t>
            </w:r>
          </w:p>
        </w:tc>
        <w:tc>
          <w:tcPr>
            <w:tcW w:type="dxa" w:w="1728"/>
          </w:tcPr>
          <w:p>
            <w:r>
              <w:rPr>
                <w:rFonts w:ascii="Calibri" w:hAnsi="Calibri"/>
                <w:sz w:val="22"/>
              </w:rPr>
              <w:t>15.3x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NTM P/Book (current)</w:t>
            </w:r>
          </w:p>
        </w:tc>
        <w:tc>
          <w:tcPr>
            <w:tcW w:type="dxa" w:w="1728"/>
          </w:tcPr>
          <w:p>
            <w:r>
              <w:rPr>
                <w:rFonts w:ascii="Calibri" w:hAnsi="Calibri"/>
                <w:sz w:val="22"/>
              </w:rPr>
              <w:t>2.58x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color w:val="525866"/>
          <w:sz w:val="22"/>
        </w:rPr>
        <w:t>Source: Stock Price Data (Yahoo Finance). Performance decomposition: Visible Alpha / Implied Analytics. KBE = SPDR S&amp;P Bank ETF, used as the sector benchmark given NTRS's primary classification as a custody/trust bank.</w:t>
      </w:r>
    </w:p>
    <w:p>
      <w:pPr>
        <w:pStyle w:val="Heading3"/>
      </w:pPr>
      <w:r>
        <w:rPr>
          <w:rFonts w:ascii="Calibri" w:hAnsi="Calibri"/>
          <w:b/>
          <w:color w:val="3B4259"/>
          <w:sz w:val="24"/>
        </w:rPr>
        <w:t>Chart: NTRS vs. KBE vs. SPY — Indexed to 100 at April 21,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NTRS (Indexed)</w:t>
            </w:r>
          </w:p>
        </w:tc>
        <w:tc>
          <w:tcPr>
            <w:tcW w:type="dxa" w:w="2160"/>
            <w:shd w:val="clear" w:color="auto" w:fill="3B4259"/>
          </w:tcPr>
          <w:p>
            <w:r>
              <w:rPr>
                <w:rFonts w:ascii="Calibri" w:hAnsi="Calibri"/>
                <w:b/>
                <w:color w:val="FFFFFF"/>
                <w:sz w:val="22"/>
              </w:rPr>
              <w:t>KBE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21,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 2026</w:t>
            </w:r>
          </w:p>
        </w:tc>
        <w:tc>
          <w:tcPr>
            <w:tcW w:type="dxa" w:w="2160"/>
          </w:tcPr>
          <w:p>
            <w:r>
              <w:rPr>
                <w:rFonts w:ascii="Calibri" w:hAnsi="Calibri"/>
                <w:sz w:val="22"/>
              </w:rPr>
              <w:t>95.8</w:t>
            </w:r>
          </w:p>
        </w:tc>
        <w:tc>
          <w:tcPr>
            <w:tcW w:type="dxa" w:w="2160"/>
          </w:tcPr>
          <w:p>
            <w:r>
              <w:rPr>
                <w:rFonts w:ascii="Calibri" w:hAnsi="Calibri"/>
                <w:sz w:val="22"/>
              </w:rPr>
              <w:t>99.9</w:t>
            </w:r>
          </w:p>
        </w:tc>
        <w:tc>
          <w:tcPr>
            <w:tcW w:type="dxa" w:w="2160"/>
          </w:tcPr>
          <w:p>
            <w:r>
              <w:rPr>
                <w:rFonts w:ascii="Calibri" w:hAnsi="Calibri"/>
                <w:sz w:val="22"/>
              </w:rPr>
              <w:t>102.4</w:t>
            </w:r>
          </w:p>
        </w:tc>
      </w:tr>
      <w:tr>
        <w:tc>
          <w:tcPr>
            <w:tcW w:type="dxa" w:w="2160"/>
          </w:tcPr>
          <w:p>
            <w:r>
              <w:rPr>
                <w:rFonts w:ascii="Calibri" w:hAnsi="Calibri"/>
                <w:sz w:val="22"/>
              </w:rPr>
              <w:t>Jun 1, 2026</w:t>
            </w:r>
          </w:p>
        </w:tc>
        <w:tc>
          <w:tcPr>
            <w:tcW w:type="dxa" w:w="2160"/>
          </w:tcPr>
          <w:p>
            <w:r>
              <w:rPr>
                <w:rFonts w:ascii="Calibri" w:hAnsi="Calibri"/>
                <w:sz w:val="22"/>
              </w:rPr>
              <w:t>98.0</w:t>
            </w:r>
          </w:p>
        </w:tc>
        <w:tc>
          <w:tcPr>
            <w:tcW w:type="dxa" w:w="2160"/>
          </w:tcPr>
          <w:p>
            <w:r>
              <w:rPr>
                <w:rFonts w:ascii="Calibri" w:hAnsi="Calibri"/>
                <w:sz w:val="22"/>
              </w:rPr>
              <w:t>97.5</w:t>
            </w:r>
          </w:p>
        </w:tc>
        <w:tc>
          <w:tcPr>
            <w:tcW w:type="dxa" w:w="2160"/>
          </w:tcPr>
          <w:p>
            <w:r>
              <w:rPr>
                <w:rFonts w:ascii="Calibri" w:hAnsi="Calibri"/>
                <w:sz w:val="22"/>
              </w:rPr>
              <w:t>107.7</w:t>
            </w:r>
          </w:p>
        </w:tc>
      </w:tr>
      <w:tr>
        <w:tc>
          <w:tcPr>
            <w:tcW w:type="dxa" w:w="2160"/>
          </w:tcPr>
          <w:p>
            <w:r>
              <w:rPr>
                <w:rFonts w:ascii="Calibri" w:hAnsi="Calibri"/>
                <w:sz w:val="22"/>
              </w:rPr>
              <w:t>Jun 9, 2026 (MS Conference)</w:t>
            </w:r>
          </w:p>
        </w:tc>
        <w:tc>
          <w:tcPr>
            <w:tcW w:type="dxa" w:w="2160"/>
          </w:tcPr>
          <w:p>
            <w:r>
              <w:rPr>
                <w:rFonts w:ascii="Calibri" w:hAnsi="Calibri"/>
                <w:sz w:val="22"/>
              </w:rPr>
              <w:t>99.3</w:t>
            </w:r>
          </w:p>
        </w:tc>
        <w:tc>
          <w:tcPr>
            <w:tcW w:type="dxa" w:w="2160"/>
          </w:tcPr>
          <w:p>
            <w:r>
              <w:rPr>
                <w:rFonts w:ascii="Calibri" w:hAnsi="Calibri"/>
                <w:sz w:val="22"/>
              </w:rPr>
              <w:t>101.5</w:t>
            </w:r>
          </w:p>
        </w:tc>
        <w:tc>
          <w:tcPr>
            <w:tcW w:type="dxa" w:w="2160"/>
          </w:tcPr>
          <w:p>
            <w:r>
              <w:rPr>
                <w:rFonts w:ascii="Calibri" w:hAnsi="Calibri"/>
                <w:sz w:val="22"/>
              </w:rPr>
              <w:t>104.7</w:t>
            </w:r>
          </w:p>
        </w:tc>
      </w:tr>
      <w:tr>
        <w:tc>
          <w:tcPr>
            <w:tcW w:type="dxa" w:w="2160"/>
          </w:tcPr>
          <w:p>
            <w:r>
              <w:rPr>
                <w:rFonts w:ascii="Calibri" w:hAnsi="Calibri"/>
                <w:sz w:val="22"/>
              </w:rPr>
              <w:t>Jun 30, 2026</w:t>
            </w:r>
          </w:p>
        </w:tc>
        <w:tc>
          <w:tcPr>
            <w:tcW w:type="dxa" w:w="2160"/>
          </w:tcPr>
          <w:p>
            <w:r>
              <w:rPr>
                <w:rFonts w:ascii="Calibri" w:hAnsi="Calibri"/>
                <w:sz w:val="22"/>
              </w:rPr>
              <w:t>101.2</w:t>
            </w:r>
          </w:p>
        </w:tc>
        <w:tc>
          <w:tcPr>
            <w:tcW w:type="dxa" w:w="2160"/>
          </w:tcPr>
          <w:p>
            <w:r>
              <w:rPr>
                <w:rFonts w:ascii="Calibri" w:hAnsi="Calibri"/>
                <w:sz w:val="22"/>
              </w:rPr>
              <w:t>106.4</w:t>
            </w:r>
          </w:p>
        </w:tc>
        <w:tc>
          <w:tcPr>
            <w:tcW w:type="dxa" w:w="2160"/>
          </w:tcPr>
          <w:p>
            <w:r>
              <w:rPr>
                <w:rFonts w:ascii="Calibri" w:hAnsi="Calibri"/>
                <w:sz w:val="22"/>
              </w:rPr>
              <w:t>106.1</w:t>
            </w:r>
          </w:p>
        </w:tc>
      </w:tr>
      <w:tr>
        <w:tc>
          <w:tcPr>
            <w:tcW w:type="dxa" w:w="2160"/>
          </w:tcPr>
          <w:p>
            <w:r>
              <w:rPr>
                <w:rFonts w:ascii="Calibri" w:hAnsi="Calibri"/>
                <w:sz w:val="22"/>
              </w:rPr>
              <w:t>Jul 15, 2026 (BNY Q2 Earnings)</w:t>
            </w:r>
          </w:p>
        </w:tc>
        <w:tc>
          <w:tcPr>
            <w:tcW w:type="dxa" w:w="2160"/>
          </w:tcPr>
          <w:p>
            <w:r>
              <w:rPr>
                <w:rFonts w:ascii="Calibri" w:hAnsi="Calibri"/>
                <w:sz w:val="22"/>
              </w:rPr>
              <w:t>111.3</w:t>
            </w:r>
          </w:p>
        </w:tc>
        <w:tc>
          <w:tcPr>
            <w:tcW w:type="dxa" w:w="2160"/>
          </w:tcPr>
          <w:p>
            <w:r>
              <w:rPr>
                <w:rFonts w:ascii="Calibri" w:hAnsi="Calibri"/>
                <w:sz w:val="22"/>
              </w:rPr>
              <w:t>108.5</w:t>
            </w:r>
          </w:p>
        </w:tc>
        <w:tc>
          <w:tcPr>
            <w:tcW w:type="dxa" w:w="2160"/>
          </w:tcPr>
          <w:p>
            <w:r>
              <w:rPr>
                <w:rFonts w:ascii="Calibri" w:hAnsi="Calibri"/>
                <w:sz w:val="22"/>
              </w:rPr>
              <w:t>107.2</w:t>
            </w:r>
          </w:p>
        </w:tc>
      </w:tr>
      <w:tr>
        <w:tc>
          <w:tcPr>
            <w:tcW w:type="dxa" w:w="2160"/>
          </w:tcPr>
          <w:p>
            <w:r>
              <w:rPr>
                <w:rFonts w:ascii="Calibri" w:hAnsi="Calibri"/>
                <w:sz w:val="22"/>
              </w:rPr>
              <w:t>Jul 16, 2026 (STT Q2 Earnings)</w:t>
            </w:r>
          </w:p>
        </w:tc>
        <w:tc>
          <w:tcPr>
            <w:tcW w:type="dxa" w:w="2160"/>
          </w:tcPr>
          <w:p>
            <w:r>
              <w:rPr>
                <w:rFonts w:ascii="Calibri" w:hAnsi="Calibri"/>
                <w:sz w:val="22"/>
              </w:rPr>
              <w:t>109.8</w:t>
            </w:r>
          </w:p>
        </w:tc>
        <w:tc>
          <w:tcPr>
            <w:tcW w:type="dxa" w:w="2160"/>
          </w:tcPr>
          <w:p>
            <w:r>
              <w:rPr>
                <w:rFonts w:ascii="Calibri" w:hAnsi="Calibri"/>
                <w:sz w:val="22"/>
              </w:rPr>
              <w:t>111.1</w:t>
            </w:r>
          </w:p>
        </w:tc>
        <w:tc>
          <w:tcPr>
            <w:tcW w:type="dxa" w:w="2160"/>
          </w:tcPr>
          <w:p>
            <w:r>
              <w:rPr>
                <w:rFonts w:ascii="Calibri" w:hAnsi="Calibri"/>
                <w:sz w:val="22"/>
              </w:rPr>
              <w:t>106.6</w:t>
            </w:r>
          </w:p>
        </w:tc>
      </w:tr>
      <w:tr>
        <w:tc>
          <w:tcPr>
            <w:tcW w:type="dxa" w:w="2160"/>
          </w:tcPr>
          <w:p>
            <w:r>
              <w:rPr>
                <w:rFonts w:ascii="Calibri" w:hAnsi="Calibri"/>
                <w:sz w:val="22"/>
              </w:rPr>
              <w:t>Jul 21, 2026 (Current)</w:t>
            </w:r>
          </w:p>
        </w:tc>
        <w:tc>
          <w:tcPr>
            <w:tcW w:type="dxa" w:w="2160"/>
          </w:tcPr>
          <w:p>
            <w:r>
              <w:rPr>
                <w:rFonts w:ascii="Calibri" w:hAnsi="Calibri"/>
                <w:sz w:val="22"/>
              </w:rPr>
              <w:t>107.8</w:t>
            </w:r>
          </w:p>
        </w:tc>
        <w:tc>
          <w:tcPr>
            <w:tcW w:type="dxa" w:w="2160"/>
          </w:tcPr>
          <w:p>
            <w:r>
              <w:rPr>
                <w:rFonts w:ascii="Calibri" w:hAnsi="Calibri"/>
                <w:sz w:val="22"/>
              </w:rPr>
              <w:t>108.4</w:t>
            </w:r>
          </w:p>
        </w:tc>
        <w:tc>
          <w:tcPr>
            <w:tcW w:type="dxa" w:w="2160"/>
          </w:tcPr>
          <w:p>
            <w:r>
              <w:rPr>
                <w:rFonts w:ascii="Calibri" w:hAnsi="Calibri"/>
                <w:sz w:val="22"/>
              </w:rPr>
              <w:t>106.3</w:t>
            </w:r>
          </w:p>
        </w:tc>
      </w:tr>
    </w:tbl>
    <w:p>
      <w:r>
        <w:rPr>
          <w:rFonts w:ascii="Calibri" w:hAnsi="Calibri"/>
          <w:b/>
          <w:color w:val="525866"/>
          <w:sz w:val="22"/>
        </w:rPr>
        <w:t xml:space="preserve">Key Events Annotated: </w:t>
      </w:r>
      <w:r>
        <w:rPr>
          <w:rFonts w:ascii="Calibri" w:hAnsi="Calibri"/>
          <w:color w:val="525866"/>
          <w:sz w:val="22"/>
        </w:rPr>
        <w:t>Jun 9 = NTRS CFO at Morgan Stanley Financials Conference (confirmed Q2 Goldilocks conditions); Jul 15 = BNY Mellon Q2 blowout earnings (strong custody/NII read-through); Jul 16 = State Street Q2 record results (645bps operating leverage, NII +18% YoY). Source: Stock Price Data (Yahoo Finance).</w:t>
      </w:r>
    </w:p>
    <w:p>
      <w:r>
        <w:br w:type="page"/>
      </w:r>
    </w:p>
    <w:p>
      <w:pPr>
        <w:pStyle w:val="Heading2"/>
      </w:pPr>
      <w:r>
        <w:rPr>
          <w:rFonts w:ascii="Calibri" w:hAnsi="Calibri"/>
          <w:b/>
          <w:color w:val="3B4259"/>
          <w:sz w:val="28"/>
        </w:rPr>
        <w:t>6. Peer Commentaries &amp; Read-Throughs (Last 60 Days — Q2 2026 Current-Quarter Focus Only)</w:t>
      </w:r>
    </w:p>
    <w:p>
      <w:r>
        <w:rPr>
          <w:rFonts w:ascii="Calibri" w:hAnsi="Calibri"/>
          <w:b/>
          <w:color w:val="525866"/>
          <w:sz w:val="22"/>
        </w:rPr>
        <w:t xml:space="preserve">Key Takeaway: </w:t>
      </w:r>
      <w:r>
        <w:rPr>
          <w:rFonts w:ascii="Calibri" w:hAnsi="Calibri"/>
          <w:color w:val="525866"/>
          <w:sz w:val="22"/>
        </w:rPr>
        <w:t>Peer commentary from BNY Mellon (Q2 actual), State Street (Q2 actual), and pre-quarter conference commentary from both firms and Invesco collectively paint a strongly positive picture for NTRS's Q2 — record AUC/AUM, NII beats driven by stronger-than-expected deposits, record FX volumes, and 400–645 bps of operating leverage at direct peers all point to a constructive Q2 for NTRS.</w:t>
      </w:r>
    </w:p>
    <w:p>
      <w:r>
        <w:rPr>
          <w:rFonts w:ascii="Calibri" w:hAnsi="Calibri"/>
          <w:b/>
          <w:color w:val="525866"/>
          <w:sz w:val="22"/>
        </w:rPr>
        <w:t xml:space="preserve">Note: </w:t>
      </w:r>
      <w:r>
        <w:rPr>
          <w:rFonts w:ascii="Calibri" w:hAnsi="Calibri"/>
          <w:color w:val="525866"/>
          <w:sz w:val="22"/>
        </w:rPr>
        <w:t>Only commentary made in the last 60 days (on or after May 22, 2026) that explicitly addresses Q2 2026 current-quarter conditions or forward outlook is included below. Prior-quarter retrospective commentary has been excluded.</w:t>
      </w:r>
    </w:p>
    <w:p>
      <w:pPr>
        <w:pStyle w:val="Heading3"/>
      </w:pPr>
      <w:r>
        <w:rPr>
          <w:rFonts w:ascii="Calibri" w:hAnsi="Calibri"/>
          <w:b/>
          <w:color w:val="3B4259"/>
          <w:sz w:val="24"/>
        </w:rPr>
        <w:t>BNY Mellon (BK) — Q2 2026 Earnings Call, July 15, 2026</w:t>
      </w:r>
    </w:p>
    <w:p>
      <w:r>
        <w:rPr>
          <w:rFonts w:ascii="Calibri" w:hAnsi="Calibri"/>
          <w:b/>
          <w:color w:val="525866"/>
          <w:sz w:val="22"/>
        </w:rPr>
        <w:t xml:space="preserve">Relevance: </w:t>
      </w:r>
      <w:r>
        <w:rPr>
          <w:rFonts w:ascii="Calibri" w:hAnsi="Calibri"/>
          <w:color w:val="525866"/>
          <w:sz w:val="22"/>
        </w:rPr>
        <w:t>BNY Mellon is NTRS's most direct peer in custody banking and institutional asset servicing. BK's Q2 results are the single strongest read-through for NTRS.</w:t>
      </w:r>
    </w:p>
    <w:p>
      <w:pPr>
        <w:pStyle w:val="ListBullet"/>
        <w:ind w:left="360" w:hanging="360"/>
      </w:pPr>
      <w:r>
        <w:rPr>
          <w:rFonts w:ascii="Calibri" w:hAnsi="Calibri"/>
          <w:b/>
          <w:color w:val="525866"/>
          <w:sz w:val="22"/>
        </w:rPr>
        <w:t xml:space="preserve">Operating Environment (Q2 2026): </w:t>
      </w:r>
      <w:r>
        <w:rPr>
          <w:rFonts w:ascii="Calibri" w:hAnsi="Calibri"/>
          <w:color w:val="525866"/>
          <w:sz w:val="22"/>
        </w:rPr>
        <w:t xml:space="preserve">BK described Q2 as having "higher levels of market activity and strong client engagement" despite a "dynamic backdrop" of geopolitical tensions and elevated energy prices. "The fundamental drivers of capital markets remained broadly constructive."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Directly positive for NTRS's fee income, FX revenues, and capital markets-related income.</w:t>
      </w:r>
    </w:p>
    <w:p>
      <w:pPr>
        <w:pStyle w:val="ListBullet"/>
        <w:ind w:left="360" w:hanging="360"/>
      </w:pPr>
      <w:r>
        <w:rPr>
          <w:rFonts w:ascii="Calibri" w:hAnsi="Calibri"/>
          <w:b/>
          <w:color w:val="525866"/>
          <w:sz w:val="22"/>
        </w:rPr>
        <w:t xml:space="preserve">AUC/AUM (Q2 2026): </w:t>
      </w:r>
      <w:r>
        <w:rPr>
          <w:rFonts w:ascii="Calibri" w:hAnsi="Calibri"/>
          <w:color w:val="525866"/>
          <w:sz w:val="22"/>
        </w:rPr>
        <w:t xml:space="preserve">BK's firmwide AUC/A reached $62.6T, up 12% YoY, "primarily driven by higher market values and net client inflows." ETF AUC reached $4.4T, up 35% YoY; alternatives AUC grew 17% YoY. Fund launches "accelerated in the quarter" with an "uptick in new business wins in asset servicing overall."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Strong market-level tailwinds and organic growth momentum should lift NTRS's AUC/AUM and associated servicing fees.</w:t>
      </w:r>
    </w:p>
    <w:p>
      <w:pPr>
        <w:pStyle w:val="ListBullet"/>
        <w:ind w:left="360" w:hanging="360"/>
      </w:pPr>
      <w:r>
        <w:rPr>
          <w:rFonts w:ascii="Calibri" w:hAnsi="Calibri"/>
          <w:b/>
          <w:color w:val="525866"/>
          <w:sz w:val="22"/>
        </w:rPr>
        <w:t xml:space="preserve">NII (Q2 2026): </w:t>
      </w:r>
      <w:r>
        <w:rPr>
          <w:rFonts w:ascii="Calibri" w:hAnsi="Calibri"/>
          <w:color w:val="525866"/>
          <w:sz w:val="22"/>
        </w:rPr>
        <w:t xml:space="preserve">BK's NII was up 20% YoY and 6% QoQ, "primarily driven by reinvestment of investment securities at higher yields and balance sheet growth." Full-year NII guidance raised to +12–13% YoY. Average deposit balances moderated only 1% sequentially.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Deposit resilience and NII upside at BK is a strong positive signal for NTRS's own NII, where the key question is deposit retention from Q1's elevated levels.</w:t>
      </w:r>
    </w:p>
    <w:p>
      <w:pPr>
        <w:pStyle w:val="ListBullet"/>
        <w:ind w:left="360" w:hanging="360"/>
      </w:pPr>
      <w:r>
        <w:rPr>
          <w:rFonts w:ascii="Calibri" w:hAnsi="Calibri"/>
          <w:b/>
          <w:color w:val="525866"/>
          <w:sz w:val="22"/>
        </w:rPr>
        <w:t xml:space="preserve">Operating Leverage (Q2 2026): </w:t>
      </w:r>
      <w:r>
        <w:rPr>
          <w:rFonts w:ascii="Calibri" w:hAnsi="Calibri"/>
          <w:color w:val="525866"/>
          <w:sz w:val="22"/>
        </w:rPr>
        <w:t xml:space="preserve">BK generated "approximately 600 basis points of positive operating leverage" in Q2, with expenses up 7% YoY (75% revenue-related). Full-year operating leverage guidance raised to ~400 bps.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Peer-level operating leverage of 400–600 bps validates NTRS's own &gt;100 bps guidance as conservative; NTRS may deliver meaningfully above its stated floor.</w:t>
      </w:r>
    </w:p>
    <w:p>
      <w:pPr>
        <w:pStyle w:val="ListBullet"/>
        <w:ind w:left="360" w:hanging="360"/>
      </w:pPr>
      <w:r>
        <w:rPr>
          <w:rFonts w:ascii="Calibri" w:hAnsi="Calibri"/>
          <w:b/>
          <w:color w:val="525866"/>
          <w:sz w:val="22"/>
        </w:rPr>
        <w:t xml:space="preserve">Seasonality Caution (Q3 2026): </w:t>
      </w:r>
      <w:r>
        <w:rPr>
          <w:rFonts w:ascii="Calibri" w:hAnsi="Calibri"/>
          <w:color w:val="525866"/>
          <w:sz w:val="22"/>
        </w:rPr>
        <w:t xml:space="preserve">BK CFO noted "typically the second quarter is our strongest quarter" and "Q3 is seasonally the slowest quarter," with a "conservative bias" in H2 guidance. → </w:t>
      </w:r>
    </w:p>
    <w:p>
      <w:pPr>
        <w:pStyle w:val="ListBullet"/>
        <w:ind w:left="360" w:hanging="360"/>
      </w:pPr>
      <w:r>
        <w:rPr>
          <w:rFonts w:ascii="Calibri" w:hAnsi="Calibri"/>
          <w:b/>
          <w:color w:val="E5484D"/>
          <w:sz w:val="22"/>
        </w:rPr>
        <w:t xml:space="preserve">Read-Through: </w:t>
      </w:r>
      <w:r>
        <w:rPr>
          <w:rFonts w:ascii="Calibri" w:hAnsi="Calibri"/>
          <w:color w:val="525866"/>
          <w:sz w:val="22"/>
        </w:rPr>
        <w:t xml:space="preserve"> Relevant for NTRS's Q3 setup, not Q2; Q2 itself is seasonally strong for custody banks.</w:t>
      </w:r>
    </w:p>
    <w:p>
      <w:pPr>
        <w:pStyle w:val="Heading3"/>
      </w:pPr>
      <w:r>
        <w:rPr>
          <w:rFonts w:ascii="Calibri" w:hAnsi="Calibri"/>
          <w:b/>
          <w:color w:val="3B4259"/>
          <w:sz w:val="24"/>
        </w:rPr>
        <w:t>State Street (STT) — Q2 2026 Earnings Call, July 16, 2026</w:t>
      </w:r>
    </w:p>
    <w:p>
      <w:r>
        <w:rPr>
          <w:rFonts w:ascii="Calibri" w:hAnsi="Calibri"/>
          <w:b/>
          <w:color w:val="525866"/>
          <w:sz w:val="22"/>
        </w:rPr>
        <w:t xml:space="preserve">Relevance: </w:t>
      </w:r>
      <w:r>
        <w:rPr>
          <w:rFonts w:ascii="Calibri" w:hAnsi="Calibri"/>
          <w:color w:val="525866"/>
          <w:sz w:val="22"/>
        </w:rPr>
        <w:t>State Street is a direct custody bank peer with nearly identical business model exposure to equity markets, FX, securities lending, and institutional deposits.</w:t>
      </w:r>
    </w:p>
    <w:p>
      <w:pPr>
        <w:pStyle w:val="ListBullet"/>
        <w:ind w:left="360" w:hanging="360"/>
      </w:pPr>
      <w:r>
        <w:rPr>
          <w:rFonts w:ascii="Calibri" w:hAnsi="Calibri"/>
          <w:b/>
          <w:color w:val="525866"/>
          <w:sz w:val="22"/>
        </w:rPr>
        <w:t xml:space="preserve">Revenue (Q2 2026): </w:t>
      </w:r>
      <w:r>
        <w:rPr>
          <w:rFonts w:ascii="Calibri" w:hAnsi="Calibri"/>
          <w:color w:val="525866"/>
          <w:sz w:val="22"/>
        </w:rPr>
        <w:t xml:space="preserve">STT delivered total revenue up 17% YoY to a record $4.0B, with fee revenue up 16% YoY to $3.2B. Servicing fees were $1.5B, up 13% YoY, with ~7% organic growth.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Record fee revenue at STT driven by organic growth and market levels is a strong positive for NTRS's trust and servicing fee line.</w:t>
      </w:r>
    </w:p>
    <w:p>
      <w:pPr>
        <w:pStyle w:val="ListBullet"/>
        <w:ind w:left="360" w:hanging="360"/>
      </w:pPr>
      <w:r>
        <w:rPr>
          <w:rFonts w:ascii="Calibri" w:hAnsi="Calibri"/>
          <w:b/>
          <w:color w:val="525866"/>
          <w:sz w:val="22"/>
        </w:rPr>
        <w:t xml:space="preserve">FX Trading (Q2 2026): </w:t>
      </w:r>
      <w:r>
        <w:rPr>
          <w:rFonts w:ascii="Calibri" w:hAnsi="Calibri"/>
          <w:color w:val="525866"/>
          <w:sz w:val="22"/>
        </w:rPr>
        <w:t xml:space="preserve">STT reported "record FX trading volumes and revenues" with FX trading services revenue up 27% YoY to $494M, driven by "record high client volumes." Asia Pacific was "a particular area of strength."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Record FX volumes at STT are a direct positive read-through for NTRS's FX trading income, which benefited from elevated macro volatility in Q1 and likely continued in Q2.</w:t>
      </w:r>
    </w:p>
    <w:p>
      <w:pPr>
        <w:pStyle w:val="ListBullet"/>
        <w:ind w:left="360" w:hanging="360"/>
      </w:pPr>
      <w:r>
        <w:rPr>
          <w:rFonts w:ascii="Calibri" w:hAnsi="Calibri"/>
          <w:b/>
          <w:color w:val="525866"/>
          <w:sz w:val="22"/>
        </w:rPr>
        <w:t xml:space="preserve">Securities Finance (Q2 2026): </w:t>
      </w:r>
      <w:r>
        <w:rPr>
          <w:rFonts w:ascii="Calibri" w:hAnsi="Calibri"/>
          <w:color w:val="525866"/>
          <w:sz w:val="22"/>
        </w:rPr>
        <w:t xml:space="preserve">STT's securities finance revenue increased 19% YoY, "reflecting higher client lending balances."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Positive for NTRS's securities lending revenues.</w:t>
      </w:r>
    </w:p>
    <w:p>
      <w:pPr>
        <w:pStyle w:val="ListBullet"/>
        <w:ind w:left="360" w:hanging="360"/>
      </w:pPr>
      <w:r>
        <w:rPr>
          <w:rFonts w:ascii="Calibri" w:hAnsi="Calibri"/>
          <w:b/>
          <w:color w:val="525866"/>
          <w:sz w:val="22"/>
        </w:rPr>
        <w:t xml:space="preserve">NII &amp; Deposits (Q2 2026): </w:t>
      </w:r>
      <w:r>
        <w:rPr>
          <w:rFonts w:ascii="Calibri" w:hAnsi="Calibri"/>
          <w:color w:val="525866"/>
          <w:sz w:val="22"/>
        </w:rPr>
        <w:t xml:space="preserve">STT's NII increased 18% YoY to $860M, with NIM expanding 17 bps to 113 bps. Average deposits came in at ~$270B, above the prior guidance range of $250–260B. Full-year NII guidance raised to +14–15% YoY.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Deposit outperformance and NII upside at STT is the most direct positive signal for NTRS's Q2 NII, where deposit retention is the key swing factor.</w:t>
      </w:r>
    </w:p>
    <w:p>
      <w:pPr>
        <w:pStyle w:val="ListBullet"/>
        <w:ind w:left="360" w:hanging="360"/>
      </w:pPr>
      <w:r>
        <w:rPr>
          <w:rFonts w:ascii="Calibri" w:hAnsi="Calibri"/>
          <w:b/>
          <w:color w:val="525866"/>
          <w:sz w:val="22"/>
        </w:rPr>
        <w:t xml:space="preserve">Operating Leverage (Q2 2026): </w:t>
      </w:r>
      <w:r>
        <w:rPr>
          <w:rFonts w:ascii="Calibri" w:hAnsi="Calibri"/>
          <w:color w:val="525866"/>
          <w:sz w:val="22"/>
        </w:rPr>
        <w:t xml:space="preserve">STT delivered "645 basis points of positive operating leverage" in Q2, marking its 10th consecutive quarter of positive operating leverage. Full-year operating leverage guidance raised to ~500 bps.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Validates NTRS's own operating leverage trajectory; NTRS's &gt;100 bps FY guide appears very conservative relative to peer execution.</w:t>
      </w:r>
    </w:p>
    <w:p>
      <w:pPr>
        <w:pStyle w:val="ListBullet"/>
        <w:ind w:left="360" w:hanging="360"/>
      </w:pPr>
      <w:r>
        <w:rPr>
          <w:rFonts w:ascii="Calibri" w:hAnsi="Calibri"/>
          <w:b/>
          <w:color w:val="525866"/>
          <w:sz w:val="22"/>
        </w:rPr>
        <w:t xml:space="preserve">Full-Year Outlook Raised: </w:t>
      </w:r>
      <w:r>
        <w:rPr>
          <w:rFonts w:ascii="Calibri" w:hAnsi="Calibri"/>
          <w:color w:val="525866"/>
          <w:sz w:val="22"/>
        </w:rPr>
        <w:t xml:space="preserve">STT raised fee revenue growth guidance to 12–13% (from 7–9%), NII growth to 14–15% (from 8–10%), and now expects ~500 bps of FY operating leverage. "The trends in the second quarter coming in a little better than expected could imply some upside for the year."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Broad-based guidance raises at STT increase the probability that NTRS also raises or tightens its FY2026 NII and operating leverage guidance on the Q2 call.</w:t>
      </w:r>
    </w:p>
    <w:p>
      <w:pPr>
        <w:pStyle w:val="Heading3"/>
      </w:pPr>
      <w:r>
        <w:rPr>
          <w:rFonts w:ascii="Calibri" w:hAnsi="Calibri"/>
          <w:b/>
          <w:color w:val="3B4259"/>
          <w:sz w:val="24"/>
        </w:rPr>
        <w:t>State Street (STT) — Morgan Stanley U.S. Financials Conference, June 10, 2026</w:t>
      </w:r>
    </w:p>
    <w:p>
      <w:r>
        <w:rPr>
          <w:rFonts w:ascii="Calibri" w:hAnsi="Calibri"/>
          <w:b/>
          <w:color w:val="525866"/>
          <w:sz w:val="22"/>
        </w:rPr>
        <w:t xml:space="preserve">Relevance: </w:t>
      </w:r>
      <w:r>
        <w:rPr>
          <w:rFonts w:ascii="Calibri" w:hAnsi="Calibri"/>
          <w:color w:val="525866"/>
          <w:sz w:val="22"/>
        </w:rPr>
        <w:t>Mid-quarter commentary from STT CFO John Woods, approximately two-thirds through Q2 2026.</w:t>
      </w:r>
    </w:p>
    <w:p>
      <w:pPr>
        <w:pStyle w:val="ListBullet"/>
        <w:ind w:left="360" w:hanging="360"/>
      </w:pPr>
      <w:r>
        <w:rPr>
          <w:rFonts w:ascii="Calibri" w:hAnsi="Calibri"/>
          <w:b/>
          <w:color w:val="525866"/>
          <w:sz w:val="22"/>
        </w:rPr>
        <w:t xml:space="preserve">Q2 Revenue Tracking (mid-quarter): </w:t>
      </w:r>
      <w:r>
        <w:rPr>
          <w:rFonts w:ascii="Calibri" w:hAnsi="Calibri"/>
          <w:color w:val="525866"/>
          <w:sz w:val="22"/>
        </w:rPr>
        <w:t xml:space="preserve">STT CFO stated revenues were "coming in year-over-year up around low teens percentage" and "a little better than expected," with operating leverage expected to be "400 basis points or more for the quarter."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Mid-quarter confirmation of strong revenue growth and operating leverage at STT was an early positive signal for NTRS.</w:t>
      </w:r>
    </w:p>
    <w:p>
      <w:pPr>
        <w:pStyle w:val="ListBullet"/>
        <w:ind w:left="360" w:hanging="360"/>
      </w:pPr>
      <w:r>
        <w:rPr>
          <w:rFonts w:ascii="Calibri" w:hAnsi="Calibri"/>
          <w:b/>
          <w:color w:val="525866"/>
          <w:sz w:val="22"/>
        </w:rPr>
        <w:t xml:space="preserve">Equity Markets &amp; Volatility: </w:t>
      </w:r>
      <w:r>
        <w:rPr>
          <w:rFonts w:ascii="Calibri" w:hAnsi="Calibri"/>
          <w:color w:val="525866"/>
          <w:sz w:val="22"/>
        </w:rPr>
        <w:t xml:space="preserve">Markets were "up, whatever, 6%, 7% year-to-date" as of early June, providing an equity tailwind. Volatility had been moderating but "kicked back up" following the jobs report.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Higher average equity levels support NTRS's AUC/AUM-linked fee income; elevated volatility supports FX and capital markets revenues.</w:t>
      </w:r>
    </w:p>
    <w:p>
      <w:pPr>
        <w:pStyle w:val="ListBullet"/>
        <w:ind w:left="360" w:hanging="360"/>
      </w:pPr>
      <w:r>
        <w:rPr>
          <w:rFonts w:ascii="Calibri" w:hAnsi="Calibri"/>
          <w:b/>
          <w:color w:val="525866"/>
          <w:sz w:val="22"/>
        </w:rPr>
        <w:t xml:space="preserve">NII &amp; Deposits (mid-quarter): </w:t>
      </w:r>
      <w:r>
        <w:rPr>
          <w:rFonts w:ascii="Calibri" w:hAnsi="Calibri"/>
          <w:color w:val="525866"/>
          <w:sz w:val="22"/>
        </w:rPr>
        <w:t xml:space="preserve">STT noted NII was "a little better than expected" and Q2 deposits were "coming in a little better" than the $250–260B guidance range.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Deposit outperformance at STT mid-quarter was an early positive signal for NTRS's own deposit retention.</w:t>
      </w:r>
    </w:p>
    <w:p>
      <w:pPr>
        <w:pStyle w:val="Heading3"/>
      </w:pPr>
      <w:r>
        <w:rPr>
          <w:rFonts w:ascii="Calibri" w:hAnsi="Calibri"/>
          <w:b/>
          <w:color w:val="3B4259"/>
          <w:sz w:val="24"/>
        </w:rPr>
        <w:t>BNY Mellon (BK) — Morgan Stanley U.S. Financials Conference, June 10, 2026</w:t>
      </w:r>
    </w:p>
    <w:p>
      <w:r>
        <w:rPr>
          <w:rFonts w:ascii="Calibri" w:hAnsi="Calibri"/>
          <w:b/>
          <w:color w:val="525866"/>
          <w:sz w:val="22"/>
        </w:rPr>
        <w:t xml:space="preserve">Relevance: </w:t>
      </w:r>
      <w:r>
        <w:rPr>
          <w:rFonts w:ascii="Calibri" w:hAnsi="Calibri"/>
          <w:color w:val="525866"/>
          <w:sz w:val="22"/>
        </w:rPr>
        <w:t>Mid-quarter commentary from BK CFO Dermot McDonogh, approximately two-thirds through Q2 2026.</w:t>
      </w:r>
    </w:p>
    <w:p>
      <w:pPr>
        <w:pStyle w:val="ListBullet"/>
        <w:ind w:left="360" w:hanging="360"/>
      </w:pPr>
      <w:r>
        <w:rPr>
          <w:rFonts w:ascii="Calibri" w:hAnsi="Calibri"/>
          <w:b/>
          <w:color w:val="525866"/>
          <w:sz w:val="22"/>
        </w:rPr>
        <w:t xml:space="preserve">Operating Environment (mid-quarter): </w:t>
      </w:r>
      <w:r>
        <w:rPr>
          <w:rFonts w:ascii="Calibri" w:hAnsi="Calibri"/>
          <w:color w:val="525866"/>
          <w:sz w:val="22"/>
        </w:rPr>
        <w:t xml:space="preserve">BK CFO described the environment as "dynamic" and "constructive," characterizing himself as a "risk-adjusted optimist" and noting "the markets have held up really well in what is a really tough geopolitical environment."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Constructive mid-quarter tone from BK's CFO is consistent with NTRS CFO's own "Goldilocks" characterization at the same conference.</w:t>
      </w:r>
    </w:p>
    <w:p>
      <w:pPr>
        <w:pStyle w:val="ListBullet"/>
        <w:ind w:left="360" w:hanging="360"/>
      </w:pPr>
      <w:r>
        <w:rPr>
          <w:rFonts w:ascii="Calibri" w:hAnsi="Calibri"/>
          <w:b/>
          <w:color w:val="525866"/>
          <w:sz w:val="22"/>
        </w:rPr>
        <w:t xml:space="preserve">AUC/AUM &amp; Organic Growth: </w:t>
      </w:r>
      <w:r>
        <w:rPr>
          <w:rFonts w:ascii="Calibri" w:hAnsi="Calibri"/>
          <w:color w:val="525866"/>
          <w:sz w:val="22"/>
        </w:rPr>
        <w:t xml:space="preserve">BK noted organic growth numbers "moving in the right direction," with Q1 being a "record sales quarter" and "very strong momentum" continuing. "64% growth in clients who buy from 3 or more lines of business."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Positive organic growth momentum at BK supports similar trends at NTRS, particularly in Global Family Office and Asset Servicing.</w:t>
      </w:r>
    </w:p>
    <w:p>
      <w:pPr>
        <w:pStyle w:val="ListBullet"/>
        <w:ind w:left="360" w:hanging="360"/>
      </w:pPr>
      <w:r>
        <w:rPr>
          <w:rFonts w:ascii="Calibri" w:hAnsi="Calibri"/>
          <w:b/>
          <w:color w:val="525866"/>
          <w:sz w:val="22"/>
        </w:rPr>
        <w:t xml:space="preserve">Deposits &amp; NII: </w:t>
      </w:r>
      <w:r>
        <w:rPr>
          <w:rFonts w:ascii="Calibri" w:hAnsi="Calibri"/>
          <w:color w:val="525866"/>
          <w:sz w:val="22"/>
        </w:rPr>
        <w:t xml:space="preserve">BK CFO noted "deposits probably moderate slightly into Q2" but this had "largely panned out" as expected, with NII tracking the 10% YoY guide.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Manageable deposit moderation at BK is consistent with NTRS's own guidance for partial retention of Q1's elevated deposit levels.</w:t>
      </w:r>
    </w:p>
    <w:p>
      <w:pPr>
        <w:pStyle w:val="Heading3"/>
      </w:pPr>
      <w:r>
        <w:rPr>
          <w:rFonts w:ascii="Calibri" w:hAnsi="Calibri"/>
          <w:b/>
          <w:color w:val="3B4259"/>
          <w:sz w:val="24"/>
        </w:rPr>
        <w:t>Invesco (IVZ) — Bernstein Strategic Decisions Conference, May 27, 2026</w:t>
      </w:r>
    </w:p>
    <w:p>
      <w:r>
        <w:rPr>
          <w:rFonts w:ascii="Calibri" w:hAnsi="Calibri"/>
          <w:b/>
          <w:color w:val="525866"/>
          <w:sz w:val="22"/>
        </w:rPr>
        <w:t xml:space="preserve">Relevance: </w:t>
      </w:r>
      <w:r>
        <w:rPr>
          <w:rFonts w:ascii="Calibri" w:hAnsi="Calibri"/>
          <w:color w:val="525866"/>
          <w:sz w:val="22"/>
        </w:rPr>
        <w:t>Invesco is a major asset manager and NTRS custody/servicing client type. Commentary on AUM flows and market conditions provides a client-side read-through for NTRS's asset servicing business.</w:t>
      </w:r>
    </w:p>
    <w:p>
      <w:pPr>
        <w:pStyle w:val="ListBullet"/>
        <w:ind w:left="360" w:hanging="360"/>
      </w:pPr>
      <w:r>
        <w:rPr>
          <w:rFonts w:ascii="Calibri" w:hAnsi="Calibri"/>
          <w:b/>
          <w:color w:val="525866"/>
          <w:sz w:val="22"/>
        </w:rPr>
        <w:t xml:space="preserve">AUM Flows (Q2 2026): </w:t>
      </w:r>
      <w:r>
        <w:rPr>
          <w:rFonts w:ascii="Calibri" w:hAnsi="Calibri"/>
          <w:color w:val="525866"/>
          <w:sz w:val="22"/>
        </w:rPr>
        <w:t xml:space="preserve">Invesco CEO noted Q1 flows of ~$20B, April flows of ~$18B, and "a pretty good pace" in May. "Money is continuing to get put to work. Money is in motion." Strong ETF growth in the U.S., fixed income in Europe, and equities in Asia.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Broad-based positive flows across asset classes and geographies support NTRS's AUC/AUM growth and associated servicing fee income.</w:t>
      </w:r>
    </w:p>
    <w:p>
      <w:pPr>
        <w:pStyle w:val="ListBullet"/>
        <w:ind w:left="360" w:hanging="360"/>
      </w:pPr>
      <w:r>
        <w:rPr>
          <w:rFonts w:ascii="Calibri" w:hAnsi="Calibri"/>
          <w:b/>
          <w:color w:val="525866"/>
          <w:sz w:val="22"/>
        </w:rPr>
        <w:t xml:space="preserve">Cash on Sidelines: </w:t>
      </w:r>
      <w:r>
        <w:rPr>
          <w:rFonts w:ascii="Calibri" w:hAnsi="Calibri"/>
          <w:color w:val="525866"/>
          <w:sz w:val="22"/>
        </w:rPr>
        <w:t xml:space="preserve">Invesco estimated "around 20% of individuals' portfolios are in some kind of cash investment," suggesting sustained high money market balances.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Elevated cash allocations support NTRS's money market fund balances and deposit levels.</w:t>
      </w:r>
    </w:p>
    <w:p>
      <w:pPr>
        <w:pStyle w:val="ListBullet"/>
        <w:ind w:left="360" w:hanging="360"/>
      </w:pPr>
      <w:r>
        <w:rPr>
          <w:rFonts w:ascii="Calibri" w:hAnsi="Calibri"/>
          <w:b/>
          <w:color w:val="525866"/>
          <w:sz w:val="22"/>
        </w:rPr>
        <w:t xml:space="preserve">Volatility Normalization: </w:t>
      </w:r>
      <w:r>
        <w:rPr>
          <w:rFonts w:ascii="Calibri" w:hAnsi="Calibri"/>
          <w:color w:val="525866"/>
          <w:sz w:val="22"/>
        </w:rPr>
        <w:t xml:space="preserve">Clients are exhibiting "a little more of a new normal" with volatility and "not running from the volatility."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Client engagement despite volatility supports NTRS's capital markets and FX revenues.</w:t>
      </w:r>
    </w:p>
    <w:p>
      <w:pPr>
        <w:pStyle w:val="Heading3"/>
      </w:pPr>
      <w:r>
        <w:rPr>
          <w:rFonts w:ascii="Calibri" w:hAnsi="Calibri"/>
          <w:b/>
          <w:color w:val="3B4259"/>
          <w:sz w:val="24"/>
        </w:rPr>
        <w:t>State Street (STT) — Bernstein Strategic Decisions Conference, May 27, 2026</w:t>
      </w:r>
    </w:p>
    <w:p>
      <w:r>
        <w:rPr>
          <w:rFonts w:ascii="Calibri" w:hAnsi="Calibri"/>
          <w:b/>
          <w:color w:val="525866"/>
          <w:sz w:val="22"/>
        </w:rPr>
        <w:t xml:space="preserve">Relevance: </w:t>
      </w:r>
      <w:r>
        <w:rPr>
          <w:rFonts w:ascii="Calibri" w:hAnsi="Calibri"/>
          <w:color w:val="525866"/>
          <w:sz w:val="22"/>
        </w:rPr>
        <w:t>STT CEO Ron O'Hanley's commentary on the operating environment and strategic trends heading into Q2 2026.</w:t>
      </w:r>
    </w:p>
    <w:p>
      <w:pPr>
        <w:pStyle w:val="ListBullet"/>
        <w:ind w:left="360" w:hanging="360"/>
      </w:pPr>
      <w:r>
        <w:rPr>
          <w:rFonts w:ascii="Calibri" w:hAnsi="Calibri"/>
          <w:b/>
          <w:color w:val="525866"/>
          <w:sz w:val="22"/>
        </w:rPr>
        <w:t xml:space="preserve">Market Environment: </w:t>
      </w:r>
      <w:r>
        <w:rPr>
          <w:rFonts w:ascii="Calibri" w:hAnsi="Calibri"/>
          <w:color w:val="525866"/>
          <w:sz w:val="22"/>
        </w:rPr>
        <w:t xml:space="preserve">STT CEO described "still very strong and continued economic activity, particularly in the U.S." with "really strong investment activity across the board" and a "constructive environment" reflected in equity indices. Impact on STT's performance was "neutral to positive."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Constructive macro backdrop heading into Q2 supports NTRS's fee income and NII.</w:t>
      </w:r>
    </w:p>
    <w:p>
      <w:pPr>
        <w:pStyle w:val="ListBullet"/>
        <w:ind w:left="360" w:hanging="360"/>
      </w:pPr>
      <w:r>
        <w:rPr>
          <w:rFonts w:ascii="Calibri" w:hAnsi="Calibri"/>
          <w:b/>
          <w:color w:val="525866"/>
          <w:sz w:val="22"/>
        </w:rPr>
        <w:t xml:space="preserve">Alternatives Growth: </w:t>
      </w:r>
      <w:r>
        <w:rPr>
          <w:rFonts w:ascii="Calibri" w:hAnsi="Calibri"/>
          <w:color w:val="525866"/>
          <w:sz w:val="22"/>
        </w:rPr>
        <w:t xml:space="preserve">STT highlighted alternatives as a "continued rise" area, now representing 15–20% of servicing fees and "typically grows faster than the traditional space."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Positive for NTRS's Asset Servicing segment, which is also targeting alternatives as a growth driver.</w:t>
      </w:r>
    </w:p>
    <w:p>
      <w:pPr>
        <w:pStyle w:val="ListBullet"/>
        <w:ind w:left="360" w:hanging="360"/>
      </w:pPr>
      <w:r>
        <w:rPr>
          <w:rFonts w:ascii="Calibri" w:hAnsi="Calibri"/>
          <w:b/>
          <w:color w:val="525866"/>
          <w:sz w:val="22"/>
        </w:rPr>
        <w:t xml:space="preserve">AI &amp; Productivity: </w:t>
      </w:r>
      <w:r>
        <w:rPr>
          <w:rFonts w:ascii="Calibri" w:hAnsi="Calibri"/>
          <w:color w:val="525866"/>
          <w:sz w:val="22"/>
        </w:rPr>
        <w:t xml:space="preserve">STT has generated "productivity savings of about $2 billion" over 5 years, with AI expected to drive "meaningful gains in developer efficiency" in H2 2026 and beyond. → </w:t>
      </w:r>
    </w:p>
    <w:p>
      <w:pPr>
        <w:pStyle w:val="ListBullet"/>
        <w:ind w:left="360" w:hanging="360"/>
      </w:pPr>
      <w:r>
        <w:rPr>
          <w:rFonts w:ascii="Calibri" w:hAnsi="Calibri"/>
          <w:b/>
          <w:color w:val="30A46C"/>
          <w:sz w:val="22"/>
        </w:rPr>
        <w:t xml:space="preserve">Read-Through: </w:t>
      </w:r>
      <w:r>
        <w:rPr>
          <w:rFonts w:ascii="Calibri" w:hAnsi="Calibri"/>
          <w:color w:val="525866"/>
          <w:sz w:val="22"/>
        </w:rPr>
        <w:t xml:space="preserve"> Industry-wide AI productivity gains validate NTRS's own technology investment thesis and operating leverage targets.</w:t>
      </w:r>
    </w:p>
    <w:p>
      <w:pPr>
        <w:pStyle w:val="Heading3"/>
      </w:pPr>
      <w:r>
        <w:rPr>
          <w:rFonts w:ascii="Calibri" w:hAnsi="Calibri"/>
          <w:b/>
          <w:color w:val="3B4259"/>
          <w:sz w:val="24"/>
        </w:rPr>
        <w:t>Northern Trust (NTRS) — Morgan Stanley U.S. Financials Conference, June 9, 2026</w:t>
      </w:r>
    </w:p>
    <w:p>
      <w:r>
        <w:rPr>
          <w:rFonts w:ascii="Calibri" w:hAnsi="Calibri"/>
          <w:b/>
          <w:color w:val="525866"/>
          <w:sz w:val="22"/>
        </w:rPr>
        <w:t xml:space="preserve">Relevance: </w:t>
      </w:r>
      <w:r>
        <w:rPr>
          <w:rFonts w:ascii="Calibri" w:hAnsi="Calibri"/>
          <w:color w:val="525866"/>
          <w:sz w:val="22"/>
        </w:rPr>
        <w:t>NTRS's own CFO and CIO provided mid-quarter Q2 2026 commentary, the most direct forward-looking signal available before the print.</w:t>
      </w:r>
    </w:p>
    <w:p>
      <w:pPr>
        <w:pStyle w:val="ListBullet"/>
        <w:ind w:left="360" w:hanging="360"/>
      </w:pPr>
      <w:r>
        <w:rPr>
          <w:rFonts w:ascii="Calibri" w:hAnsi="Calibri"/>
          <w:b/>
          <w:color w:val="525866"/>
          <w:sz w:val="22"/>
        </w:rPr>
        <w:t xml:space="preserve">Q2 Conditions (CFO Dave Fox): </w:t>
      </w:r>
      <w:r>
        <w:rPr>
          <w:rFonts w:ascii="Calibri" w:hAnsi="Calibri"/>
          <w:color w:val="525866"/>
          <w:sz w:val="22"/>
        </w:rPr>
        <w:t xml:space="preserve">CFO characterized Q2 conditions as a "Goldilocks-type situation for banks with our kind of financial model" and stated "everything I said last time still holds, and my conviction is still there." Rates "look like they're going to be stable" and markets are "still very volatile" but "trending upward." → </w:t>
      </w:r>
    </w:p>
    <w:p>
      <w:pPr>
        <w:pStyle w:val="ListBullet"/>
        <w:ind w:left="360" w:hanging="360"/>
      </w:pPr>
      <w:r>
        <w:rPr>
          <w:rFonts w:ascii="Calibri" w:hAnsi="Calibri"/>
          <w:b/>
          <w:color w:val="30A46C"/>
          <w:sz w:val="22"/>
        </w:rPr>
        <w:t xml:space="preserve">Implication: </w:t>
      </w:r>
      <w:r>
        <w:rPr>
          <w:rFonts w:ascii="Calibri" w:hAnsi="Calibri"/>
          <w:color w:val="525866"/>
          <w:sz w:val="22"/>
        </w:rPr>
        <w:t xml:space="preserve"> Unusually explicit mid-quarter confirmation of all Q1 guidance with no changes — the strongest possible pre-print signal from management.</w:t>
      </w:r>
    </w:p>
    <w:p>
      <w:pPr>
        <w:pStyle w:val="ListBullet"/>
        <w:ind w:left="360" w:hanging="360"/>
      </w:pPr>
      <w:r>
        <w:rPr>
          <w:rFonts w:ascii="Calibri" w:hAnsi="Calibri"/>
          <w:b/>
          <w:color w:val="525866"/>
          <w:sz w:val="22"/>
        </w:rPr>
        <w:t xml:space="preserve">NII Strategy: </w:t>
      </w:r>
      <w:r>
        <w:rPr>
          <w:rFonts w:ascii="Calibri" w:hAnsi="Calibri"/>
          <w:color w:val="525866"/>
          <w:sz w:val="22"/>
        </w:rPr>
        <w:t xml:space="preserve">CFO confirmed "our NII strategy is still there" with no changes to the mid-to-high single digit FY growth guide. → </w:t>
      </w:r>
    </w:p>
    <w:p>
      <w:pPr>
        <w:pStyle w:val="ListBullet"/>
        <w:ind w:left="360" w:hanging="360"/>
      </w:pPr>
      <w:r>
        <w:rPr>
          <w:rFonts w:ascii="Calibri" w:hAnsi="Calibri"/>
          <w:b/>
          <w:color w:val="30A46C"/>
          <w:sz w:val="22"/>
        </w:rPr>
        <w:t xml:space="preserve">Implication: </w:t>
      </w:r>
      <w:r>
        <w:rPr>
          <w:rFonts w:ascii="Calibri" w:hAnsi="Calibri"/>
          <w:color w:val="525866"/>
          <w:sz w:val="22"/>
        </w:rPr>
        <w:t xml:space="preserve"> NII guidance intact; deposit retention from Q1 appears to be tracking at or above the $4–5B retention estimate.</w:t>
      </w:r>
    </w:p>
    <w:p>
      <w:pPr>
        <w:pStyle w:val="ListBullet"/>
        <w:ind w:left="360" w:hanging="360"/>
      </w:pPr>
      <w:r>
        <w:rPr>
          <w:rFonts w:ascii="Calibri" w:hAnsi="Calibri"/>
          <w:b/>
          <w:color w:val="525866"/>
          <w:sz w:val="22"/>
        </w:rPr>
        <w:t xml:space="preserve">Capital Return: </w:t>
      </w:r>
      <w:r>
        <w:rPr>
          <w:rFonts w:ascii="Calibri" w:hAnsi="Calibri"/>
          <w:color w:val="525866"/>
          <w:sz w:val="22"/>
        </w:rPr>
        <w:t xml:space="preserve">CFO confirmed the 100% payout ratio target explicitly excludes the Visa Class B gain, treating it as a separate one-time decision. Visa deployment "game plan" still being determined. → </w:t>
      </w:r>
    </w:p>
    <w:p>
      <w:pPr>
        <w:pStyle w:val="ListBullet"/>
        <w:ind w:left="360" w:hanging="360"/>
      </w:pPr>
      <w:r>
        <w:rPr>
          <w:rFonts w:ascii="Calibri" w:hAnsi="Calibri"/>
          <w:b/>
          <w:color w:val="002FA7"/>
          <w:sz w:val="22"/>
        </w:rPr>
        <w:t xml:space="preserve">Implication: </w:t>
      </w:r>
      <w:r>
        <w:rPr>
          <w:rFonts w:ascii="Calibri" w:hAnsi="Calibri"/>
          <w:color w:val="525866"/>
          <w:sz w:val="22"/>
        </w:rPr>
        <w:t xml:space="preserve"> Visa gain optionality remains a potential positive catalyst; any announcement on deployment would be incremental to the base case.</w:t>
      </w:r>
    </w:p>
    <w:p>
      <w:pPr>
        <w:pStyle w:val="ListBullet"/>
        <w:ind w:left="360" w:hanging="360"/>
      </w:pPr>
      <w:r>
        <w:rPr>
          <w:rFonts w:ascii="Calibri" w:hAnsi="Calibri"/>
          <w:b/>
          <w:color w:val="525866"/>
          <w:sz w:val="22"/>
        </w:rPr>
        <w:t xml:space="preserve">Technology Spending (CIO Thomas South): </w:t>
      </w:r>
      <w:r>
        <w:rPr>
          <w:rFonts w:ascii="Calibri" w:hAnsi="Calibri"/>
          <w:color w:val="525866"/>
          <w:sz w:val="22"/>
        </w:rPr>
        <w:t xml:space="preserve">Tech spend growth targeting single digits in 2026 (down from 8–13% over prior 5 years). AI budget "grew triple this year" and expected to "double or triple next year." Tokenomics introduced as a new prioritization filter — some AI use cases abandoned because running costs exceeded human labor cost. → </w:t>
      </w:r>
    </w:p>
    <w:p>
      <w:pPr>
        <w:pStyle w:val="ListBullet"/>
        <w:ind w:left="360" w:hanging="360"/>
      </w:pPr>
      <w:r>
        <w:rPr>
          <w:rFonts w:ascii="Calibri" w:hAnsi="Calibri"/>
          <w:b/>
          <w:color w:val="30A46C"/>
          <w:sz w:val="22"/>
        </w:rPr>
        <w:t xml:space="preserve">Implication: </w:t>
      </w:r>
      <w:r>
        <w:rPr>
          <w:rFonts w:ascii="Calibri" w:hAnsi="Calibri"/>
          <w:color w:val="525866"/>
          <w:sz w:val="22"/>
        </w:rPr>
        <w:t xml:space="preserve"> Decelerating tech spend growth supports the expense-down trajectory for the remainder of 2026; AI cost discipline is more rigorous than peers.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 / Source</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NTRS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BNY Mellon (Q2 Earnings)</w:t>
            </w:r>
          </w:p>
        </w:tc>
        <w:tc>
          <w:tcPr>
            <w:tcW w:type="dxa" w:w="1728"/>
          </w:tcPr>
          <w:p>
            <w:r>
              <w:rPr>
                <w:rFonts w:ascii="Calibri" w:hAnsi="Calibri"/>
                <w:sz w:val="22"/>
              </w:rPr>
              <w:t>Jul 15, 2026</w:t>
            </w:r>
          </w:p>
        </w:tc>
        <w:tc>
          <w:tcPr>
            <w:tcW w:type="dxa" w:w="1728"/>
          </w:tcPr>
          <w:p>
            <w:r>
              <w:rPr>
                <w:rFonts w:ascii="Calibri" w:hAnsi="Calibri"/>
                <w:sz w:val="22"/>
              </w:rPr>
              <w:t>NII +20% YoY; AUC/A +12%; 600bps op. leverage; deposits -1% seq.</w:t>
            </w:r>
          </w:p>
        </w:tc>
        <w:tc>
          <w:tcPr>
            <w:tcW w:type="dxa" w:w="1728"/>
          </w:tcPr>
          <w:p>
            <w:r>
              <w:rPr>
                <w:rFonts w:ascii="Calibri" w:hAnsi="Calibri"/>
                <w:sz w:val="22"/>
              </w:rPr>
              <w:t>Positive for NTRS NII, fees, and operating leverage</w:t>
            </w:r>
          </w:p>
        </w:tc>
        <w:tc>
          <w:tcPr>
            <w:tcW w:type="dxa" w:w="1728"/>
          </w:tcPr>
          <w:p>
            <w:r>
              <w:rPr>
                <w:rFonts w:ascii="Calibri" w:hAnsi="Calibri"/>
                <w:b/>
                <w:color w:val="30A46C"/>
                <w:sz w:val="22"/>
              </w:rPr>
              <w:t>↑ Positive</w:t>
            </w:r>
          </w:p>
        </w:tc>
      </w:tr>
      <w:tr>
        <w:tc>
          <w:tcPr>
            <w:tcW w:type="dxa" w:w="1728"/>
          </w:tcPr>
          <w:p>
            <w:r>
              <w:rPr>
                <w:rFonts w:ascii="Calibri" w:hAnsi="Calibri"/>
                <w:sz w:val="22"/>
              </w:rPr>
              <w:t>State Street (Q2 Earnings)</w:t>
            </w:r>
          </w:p>
        </w:tc>
        <w:tc>
          <w:tcPr>
            <w:tcW w:type="dxa" w:w="1728"/>
          </w:tcPr>
          <w:p>
            <w:r>
              <w:rPr>
                <w:rFonts w:ascii="Calibri" w:hAnsi="Calibri"/>
                <w:sz w:val="22"/>
              </w:rPr>
              <w:t>Jul 16, 2026</w:t>
            </w:r>
          </w:p>
        </w:tc>
        <w:tc>
          <w:tcPr>
            <w:tcW w:type="dxa" w:w="1728"/>
          </w:tcPr>
          <w:p>
            <w:r>
              <w:rPr>
                <w:rFonts w:ascii="Calibri" w:hAnsi="Calibri"/>
                <w:sz w:val="22"/>
              </w:rPr>
              <w:t>Record FX volumes (+27%); NII +18%; AUC record $57.9T; 645bps op. leverage; FY guidance raised</w:t>
            </w:r>
          </w:p>
        </w:tc>
        <w:tc>
          <w:tcPr>
            <w:tcW w:type="dxa" w:w="1728"/>
          </w:tcPr>
          <w:p>
            <w:r>
              <w:rPr>
                <w:rFonts w:ascii="Calibri" w:hAnsi="Calibri"/>
                <w:sz w:val="22"/>
              </w:rPr>
              <w:t>Strongest direct read-through; FX, NII, and fee upside all positive</w:t>
            </w:r>
          </w:p>
        </w:tc>
        <w:tc>
          <w:tcPr>
            <w:tcW w:type="dxa" w:w="1728"/>
          </w:tcPr>
          <w:p>
            <w:r>
              <w:rPr>
                <w:rFonts w:ascii="Calibri" w:hAnsi="Calibri"/>
                <w:b/>
                <w:color w:val="30A46C"/>
                <w:sz w:val="22"/>
              </w:rPr>
              <w:t>↑ Positive</w:t>
            </w:r>
          </w:p>
        </w:tc>
      </w:tr>
      <w:tr>
        <w:tc>
          <w:tcPr>
            <w:tcW w:type="dxa" w:w="1728"/>
          </w:tcPr>
          <w:p>
            <w:r>
              <w:rPr>
                <w:rFonts w:ascii="Calibri" w:hAnsi="Calibri"/>
                <w:sz w:val="22"/>
              </w:rPr>
              <w:t>State Street (MS Conference)</w:t>
            </w:r>
          </w:p>
        </w:tc>
        <w:tc>
          <w:tcPr>
            <w:tcW w:type="dxa" w:w="1728"/>
          </w:tcPr>
          <w:p>
            <w:r>
              <w:rPr>
                <w:rFonts w:ascii="Calibri" w:hAnsi="Calibri"/>
                <w:sz w:val="22"/>
              </w:rPr>
              <w:t>Jun 10, 2026</w:t>
            </w:r>
          </w:p>
        </w:tc>
        <w:tc>
          <w:tcPr>
            <w:tcW w:type="dxa" w:w="1728"/>
          </w:tcPr>
          <w:p>
            <w:r>
              <w:rPr>
                <w:rFonts w:ascii="Calibri" w:hAnsi="Calibri"/>
                <w:sz w:val="22"/>
              </w:rPr>
              <w:t>Mid-quarter revenues tracking low-teens YoY; deposits above guidance; NII better than expected</w:t>
            </w:r>
          </w:p>
        </w:tc>
        <w:tc>
          <w:tcPr>
            <w:tcW w:type="dxa" w:w="1728"/>
          </w:tcPr>
          <w:p>
            <w:r>
              <w:rPr>
                <w:rFonts w:ascii="Calibri" w:hAnsi="Calibri"/>
                <w:sz w:val="22"/>
              </w:rPr>
              <w:t>Early positive signal for NTRS deposit retention and NII</w:t>
            </w:r>
          </w:p>
        </w:tc>
        <w:tc>
          <w:tcPr>
            <w:tcW w:type="dxa" w:w="1728"/>
          </w:tcPr>
          <w:p>
            <w:r>
              <w:rPr>
                <w:rFonts w:ascii="Calibri" w:hAnsi="Calibri"/>
                <w:b/>
                <w:color w:val="30A46C"/>
                <w:sz w:val="22"/>
              </w:rPr>
              <w:t>↑ Positive</w:t>
            </w:r>
          </w:p>
        </w:tc>
      </w:tr>
      <w:tr>
        <w:tc>
          <w:tcPr>
            <w:tcW w:type="dxa" w:w="1728"/>
          </w:tcPr>
          <w:p>
            <w:r>
              <w:rPr>
                <w:rFonts w:ascii="Calibri" w:hAnsi="Calibri"/>
                <w:sz w:val="22"/>
              </w:rPr>
              <w:t>BNY Mellon (MS Conference)</w:t>
            </w:r>
          </w:p>
        </w:tc>
        <w:tc>
          <w:tcPr>
            <w:tcW w:type="dxa" w:w="1728"/>
          </w:tcPr>
          <w:p>
            <w:r>
              <w:rPr>
                <w:rFonts w:ascii="Calibri" w:hAnsi="Calibri"/>
                <w:sz w:val="22"/>
              </w:rPr>
              <w:t>Jun 10, 2026</w:t>
            </w:r>
          </w:p>
        </w:tc>
        <w:tc>
          <w:tcPr>
            <w:tcW w:type="dxa" w:w="1728"/>
          </w:tcPr>
          <w:p>
            <w:r>
              <w:rPr>
                <w:rFonts w:ascii="Calibri" w:hAnsi="Calibri"/>
                <w:sz w:val="22"/>
              </w:rPr>
              <w:t>"Constructive" environment; record Q1 sales; NII tracking 10% YoY guide; deposits moderating as expected</w:t>
            </w:r>
          </w:p>
        </w:tc>
        <w:tc>
          <w:tcPr>
            <w:tcW w:type="dxa" w:w="1728"/>
          </w:tcPr>
          <w:p>
            <w:r>
              <w:rPr>
                <w:rFonts w:ascii="Calibri" w:hAnsi="Calibri"/>
                <w:sz w:val="22"/>
              </w:rPr>
              <w:t>Manageable deposit moderation consistent with NTRS guidance</w:t>
            </w:r>
          </w:p>
        </w:tc>
        <w:tc>
          <w:tcPr>
            <w:tcW w:type="dxa" w:w="1728"/>
          </w:tcPr>
          <w:p>
            <w:r>
              <w:rPr>
                <w:rFonts w:ascii="Calibri" w:hAnsi="Calibri"/>
                <w:b/>
                <w:color w:val="30A46C"/>
                <w:sz w:val="22"/>
              </w:rPr>
              <w:t>↑ Positive</w:t>
            </w:r>
          </w:p>
        </w:tc>
      </w:tr>
      <w:tr>
        <w:tc>
          <w:tcPr>
            <w:tcW w:type="dxa" w:w="1728"/>
          </w:tcPr>
          <w:p>
            <w:r>
              <w:rPr>
                <w:rFonts w:ascii="Calibri" w:hAnsi="Calibri"/>
                <w:sz w:val="22"/>
              </w:rPr>
              <w:t>Invesco (Bernstein Conference)</w:t>
            </w:r>
          </w:p>
        </w:tc>
        <w:tc>
          <w:tcPr>
            <w:tcW w:type="dxa" w:w="1728"/>
          </w:tcPr>
          <w:p>
            <w:r>
              <w:rPr>
                <w:rFonts w:ascii="Calibri" w:hAnsi="Calibri"/>
                <w:sz w:val="22"/>
              </w:rPr>
              <w:t>May 27, 2026</w:t>
            </w:r>
          </w:p>
        </w:tc>
        <w:tc>
          <w:tcPr>
            <w:tcW w:type="dxa" w:w="1728"/>
          </w:tcPr>
          <w:p>
            <w:r>
              <w:rPr>
                <w:rFonts w:ascii="Calibri" w:hAnsi="Calibri"/>
                <w:sz w:val="22"/>
              </w:rPr>
              <w:t>$18B April flows; "money in motion"; 20% of portfolios in cash; ETF/SMA growth strong</w:t>
            </w:r>
          </w:p>
        </w:tc>
        <w:tc>
          <w:tcPr>
            <w:tcW w:type="dxa" w:w="1728"/>
          </w:tcPr>
          <w:p>
            <w:r>
              <w:rPr>
                <w:rFonts w:ascii="Calibri" w:hAnsi="Calibri"/>
                <w:sz w:val="22"/>
              </w:rPr>
              <w:t>Positive for NTRS AUC/AUM and money market balances</w:t>
            </w:r>
          </w:p>
        </w:tc>
        <w:tc>
          <w:tcPr>
            <w:tcW w:type="dxa" w:w="1728"/>
          </w:tcPr>
          <w:p>
            <w:r>
              <w:rPr>
                <w:rFonts w:ascii="Calibri" w:hAnsi="Calibri"/>
                <w:b/>
                <w:color w:val="30A46C"/>
                <w:sz w:val="22"/>
              </w:rPr>
              <w:t>↑ Positive</w:t>
            </w:r>
          </w:p>
        </w:tc>
      </w:tr>
      <w:tr>
        <w:tc>
          <w:tcPr>
            <w:tcW w:type="dxa" w:w="1728"/>
          </w:tcPr>
          <w:p>
            <w:r>
              <w:rPr>
                <w:rFonts w:ascii="Calibri" w:hAnsi="Calibri"/>
                <w:sz w:val="22"/>
              </w:rPr>
              <w:t>State Street (Bernstein Conference)</w:t>
            </w:r>
          </w:p>
        </w:tc>
        <w:tc>
          <w:tcPr>
            <w:tcW w:type="dxa" w:w="1728"/>
          </w:tcPr>
          <w:p>
            <w:r>
              <w:rPr>
                <w:rFonts w:ascii="Calibri" w:hAnsi="Calibri"/>
                <w:sz w:val="22"/>
              </w:rPr>
              <w:t>May 27, 2026</w:t>
            </w:r>
          </w:p>
        </w:tc>
        <w:tc>
          <w:tcPr>
            <w:tcW w:type="dxa" w:w="1728"/>
          </w:tcPr>
          <w:p>
            <w:r>
              <w:rPr>
                <w:rFonts w:ascii="Calibri" w:hAnsi="Calibri"/>
                <w:sz w:val="22"/>
              </w:rPr>
              <w:t>"Very strong" economic activity; constructive equity environment; alternatives growing faster than traditional</w:t>
            </w:r>
          </w:p>
        </w:tc>
        <w:tc>
          <w:tcPr>
            <w:tcW w:type="dxa" w:w="1728"/>
          </w:tcPr>
          <w:p>
            <w:r>
              <w:rPr>
                <w:rFonts w:ascii="Calibri" w:hAnsi="Calibri"/>
                <w:sz w:val="22"/>
              </w:rPr>
              <w:t>Positive for NTRS fee income and alternatives servicing growth</w:t>
            </w:r>
          </w:p>
        </w:tc>
        <w:tc>
          <w:tcPr>
            <w:tcW w:type="dxa" w:w="1728"/>
          </w:tcPr>
          <w:p>
            <w:r>
              <w:rPr>
                <w:rFonts w:ascii="Calibri" w:hAnsi="Calibri"/>
                <w:b/>
                <w:color w:val="30A46C"/>
                <w:sz w:val="22"/>
              </w:rPr>
              <w:t>↑ Positive</w:t>
            </w:r>
          </w:p>
        </w:tc>
      </w:tr>
      <w:tr>
        <w:tc>
          <w:tcPr>
            <w:tcW w:type="dxa" w:w="1728"/>
          </w:tcPr>
          <w:p>
            <w:r>
              <w:rPr>
                <w:rFonts w:ascii="Calibri" w:hAnsi="Calibri"/>
                <w:sz w:val="22"/>
              </w:rPr>
              <w:t>NTRS CFO (MS Conference)</w:t>
            </w:r>
          </w:p>
        </w:tc>
        <w:tc>
          <w:tcPr>
            <w:tcW w:type="dxa" w:w="1728"/>
          </w:tcPr>
          <w:p>
            <w:r>
              <w:rPr>
                <w:rFonts w:ascii="Calibri" w:hAnsi="Calibri"/>
                <w:sz w:val="22"/>
              </w:rPr>
              <w:t>Jun 9, 2026</w:t>
            </w:r>
          </w:p>
        </w:tc>
        <w:tc>
          <w:tcPr>
            <w:tcW w:type="dxa" w:w="1728"/>
          </w:tcPr>
          <w:p>
            <w:r>
              <w:rPr>
                <w:rFonts w:ascii="Calibri" w:hAnsi="Calibri"/>
                <w:sz w:val="22"/>
              </w:rPr>
              <w:t>"Goldilocks" Q2 conditions; full conviction in all Q1 guidance; NII strategy unchanged; Visa gain decision pending</w:t>
            </w:r>
          </w:p>
        </w:tc>
        <w:tc>
          <w:tcPr>
            <w:tcW w:type="dxa" w:w="1728"/>
          </w:tcPr>
          <w:p>
            <w:r>
              <w:rPr>
                <w:rFonts w:ascii="Calibri" w:hAnsi="Calibri"/>
                <w:sz w:val="22"/>
              </w:rPr>
              <w:t>Strongest possible pre-print signal; no guidance changes</w:t>
            </w:r>
          </w:p>
        </w:tc>
        <w:tc>
          <w:tcPr>
            <w:tcW w:type="dxa" w:w="1728"/>
          </w:tcPr>
          <w:p>
            <w:r>
              <w:rPr>
                <w:rFonts w:ascii="Calibri" w:hAnsi="Calibri"/>
                <w:b/>
                <w:color w:val="30A46C"/>
                <w:sz w:val="22"/>
              </w:rPr>
              <w:t>↑ Positive</w:t>
            </w:r>
          </w:p>
        </w:tc>
      </w:tr>
      <w:tr>
        <w:tc>
          <w:tcPr>
            <w:tcW w:type="dxa" w:w="1728"/>
          </w:tcPr>
          <w:p>
            <w:r>
              <w:rPr>
                <w:rFonts w:ascii="Calibri" w:hAnsi="Calibri"/>
                <w:sz w:val="22"/>
              </w:rPr>
              <w:t>BNY Mellon (Q2 Earnings — Q3 Caution)</w:t>
            </w:r>
          </w:p>
        </w:tc>
        <w:tc>
          <w:tcPr>
            <w:tcW w:type="dxa" w:w="1728"/>
          </w:tcPr>
          <w:p>
            <w:r>
              <w:rPr>
                <w:rFonts w:ascii="Calibri" w:hAnsi="Calibri"/>
                <w:sz w:val="22"/>
              </w:rPr>
              <w:t>Jul 15, 2026</w:t>
            </w:r>
          </w:p>
        </w:tc>
        <w:tc>
          <w:tcPr>
            <w:tcW w:type="dxa" w:w="1728"/>
          </w:tcPr>
          <w:p>
            <w:r>
              <w:rPr>
                <w:rFonts w:ascii="Calibri" w:hAnsi="Calibri"/>
                <w:sz w:val="22"/>
              </w:rPr>
              <w:t>Q3 is "seasonally the slowest quarter"; conservative H2 bias; tough YoY comp for NII/deposits in Q3</w:t>
            </w:r>
          </w:p>
        </w:tc>
        <w:tc>
          <w:tcPr>
            <w:tcW w:type="dxa" w:w="1728"/>
          </w:tcPr>
          <w:p>
            <w:r>
              <w:rPr>
                <w:rFonts w:ascii="Calibri" w:hAnsi="Calibri"/>
                <w:sz w:val="22"/>
              </w:rPr>
              <w:t>Risk to NTRS Q3 NII and sequential momentum; not a Q2 risk</w:t>
            </w:r>
          </w:p>
        </w:tc>
        <w:tc>
          <w:tcPr>
            <w:tcW w:type="dxa" w:w="1728"/>
          </w:tcPr>
          <w:p>
            <w:r>
              <w:rPr>
                <w:rFonts w:ascii="Calibri" w:hAnsi="Calibri"/>
                <w:b/>
                <w:color w:val="E5484D"/>
                <w:sz w:val="22"/>
              </w:rPr>
              <w:t>↓ Caution (Q3)</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9 Morgan Stanley Conference, where NTRS's CFO provided unusually explicit mid-quarter confirmation of all guidance with full conviction — this is the clearest pre-print signal available and materially reduces downside risk heading into the print.</w:t>
      </w:r>
    </w:p>
    <w:p>
      <w:pPr>
        <w:pStyle w:val="ListBullet"/>
        <w:ind w:left="360" w:hanging="360"/>
      </w:pPr>
      <w:r>
        <w:rPr>
          <w:rFonts w:ascii="Calibri" w:hAnsi="Calibri"/>
          <w:b/>
          <w:color w:val="525866"/>
          <w:sz w:val="22"/>
        </w:rPr>
        <w:t xml:space="preserve">June 9, 2026 — NTRS CFO at Morgan Stanley U.S. Financials Conference: </w:t>
      </w:r>
      <w:r>
        <w:rPr>
          <w:rFonts w:ascii="Calibri" w:hAnsi="Calibri"/>
          <w:color w:val="525866"/>
          <w:sz w:val="22"/>
        </w:rPr>
        <w:t xml:space="preserve">CFO Dave Fox characterized Q2 conditions as a "Goldilocks-type situation" and confirmed full conviction in all Q1 guidance with no changes to NII strategy, capital plans, or operating leverage targets. CIO Thomas South disclosed tech spend growth targeting single digits in 2026 (down from 8–13% historically), with AI budget tripling in 2026. </w:t>
      </w:r>
    </w:p>
    <w:p>
      <w:pPr>
        <w:pStyle w:val="ListBullet"/>
        <w:ind w:left="360" w:hanging="360"/>
      </w:pPr>
      <w:r>
        <w:rPr>
          <w:rFonts w:ascii="Calibri" w:hAnsi="Calibri"/>
          <w:b/>
          <w:color w:val="525866"/>
          <w:sz w:val="22"/>
        </w:rPr>
        <w:t xml:space="preserve">Implication: </w:t>
      </w:r>
      <w:r>
        <w:rPr>
          <w:rFonts w:ascii="Calibri" w:hAnsi="Calibri"/>
          <w:color w:val="525866"/>
          <w:sz w:val="22"/>
        </w:rPr>
        <w:t>Strongest possible pre-print signal; reduces probability of a guidance miss or negative surprise.</w:t>
      </w:r>
    </w:p>
    <w:p>
      <w:pPr>
        <w:pStyle w:val="ListBullet"/>
        <w:ind w:left="360" w:hanging="360"/>
      </w:pPr>
      <w:r>
        <w:rPr>
          <w:rFonts w:ascii="Calibri" w:hAnsi="Calibri"/>
          <w:b/>
          <w:color w:val="525866"/>
          <w:sz w:val="22"/>
        </w:rPr>
        <w:t xml:space="preserve">July 15–16, 2026 — BNY Mellon and State Street Q2 2026 Earnings (Peer Read-Through): </w:t>
      </w:r>
      <w:r>
        <w:rPr>
          <w:rFonts w:ascii="Calibri" w:hAnsi="Calibri"/>
          <w:color w:val="525866"/>
          <w:sz w:val="22"/>
        </w:rPr>
        <w:t xml:space="preserve">BNY Mellon reported NII +20% YoY, AUC/A +12%, and 600 bps of operating leverage; State Street reported record revenue of $4.0B (+17% YoY), record FX volumes (+27%), NII +18%, and 645 bps of operating leverage. Both firms raised full-year guidance. </w:t>
      </w:r>
    </w:p>
    <w:p>
      <w:pPr>
        <w:pStyle w:val="ListBullet"/>
        <w:ind w:left="360" w:hanging="360"/>
      </w:pPr>
      <w:r>
        <w:rPr>
          <w:rFonts w:ascii="Calibri" w:hAnsi="Calibri"/>
          <w:b/>
          <w:color w:val="525866"/>
          <w:sz w:val="22"/>
        </w:rPr>
        <w:t xml:space="preserve">Implication: </w:t>
      </w:r>
      <w:r>
        <w:rPr>
          <w:rFonts w:ascii="Calibri" w:hAnsi="Calibri"/>
          <w:color w:val="525866"/>
          <w:sz w:val="22"/>
        </w:rPr>
        <w:t>Strongest peer read-through possible; validates the operating environment NTRS's CFO described in June and raises the probability of NTRS also raising FY guidance.</w:t>
      </w:r>
    </w:p>
    <w:p>
      <w:pPr>
        <w:pStyle w:val="ListBullet"/>
        <w:ind w:left="360" w:hanging="360"/>
      </w:pPr>
      <w:r>
        <w:rPr>
          <w:rFonts w:ascii="Calibri" w:hAnsi="Calibri"/>
          <w:b/>
          <w:color w:val="525866"/>
          <w:sz w:val="22"/>
        </w:rPr>
        <w:t xml:space="preserve">April 21, 2026 — Q1 2026 Earnings Beat and NII Guidance Upgrade: </w:t>
      </w:r>
      <w:r>
        <w:rPr>
          <w:rFonts w:ascii="Calibri" w:hAnsi="Calibri"/>
          <w:color w:val="525866"/>
          <w:sz w:val="22"/>
        </w:rPr>
        <w:t xml:space="preserve">NTRS reported Q1 operating EPS of $2.71 (vs. $2.33 consensus, +16.3% beat), NII of $654M (new quarterly record, +15% YoY), and 740 bps of operating leverage. Management upgraded FY2026 NII guidance from low-to-mid to mid-to-high single digit growth. </w:t>
      </w:r>
    </w:p>
    <w:p>
      <w:pPr>
        <w:pStyle w:val="ListBullet"/>
        <w:ind w:left="360" w:hanging="360"/>
      </w:pPr>
      <w:r>
        <w:rPr>
          <w:rFonts w:ascii="Calibri" w:hAnsi="Calibri"/>
          <w:b/>
          <w:color w:val="525866"/>
          <w:sz w:val="22"/>
        </w:rPr>
        <w:t xml:space="preserve">Implication: </w:t>
      </w:r>
      <w:r>
        <w:rPr>
          <w:rFonts w:ascii="Calibri" w:hAnsi="Calibri"/>
          <w:color w:val="525866"/>
          <w:sz w:val="22"/>
        </w:rPr>
        <w:t>Set a high bar for Q2 but also established a pattern of conservative guidance; the NII upgrade was the key catalyst for the post-earnings stock rally.</w:t>
      </w:r>
    </w:p>
    <w:p>
      <w:pPr>
        <w:pStyle w:val="ListBullet"/>
        <w:ind w:left="360" w:hanging="360"/>
      </w:pPr>
      <w:r>
        <w:rPr>
          <w:rFonts w:ascii="Calibri" w:hAnsi="Calibri"/>
          <w:b/>
          <w:color w:val="525866"/>
          <w:sz w:val="22"/>
        </w:rPr>
        <w:t xml:space="preserve">April 22, 2026 — Annual Shareholder Meeting (8-K): </w:t>
      </w:r>
      <w:r>
        <w:rPr>
          <w:rFonts w:ascii="Calibri" w:hAnsi="Calibri"/>
          <w:color w:val="525866"/>
          <w:sz w:val="22"/>
        </w:rPr>
        <w:t xml:space="preserve">All shareholder proposals approved; all directors re-elected. No material governance changes. </w:t>
      </w:r>
    </w:p>
    <w:p>
      <w:pPr>
        <w:pStyle w:val="ListBullet"/>
        <w:ind w:left="360" w:hanging="360"/>
      </w:pPr>
      <w:r>
        <w:rPr>
          <w:rFonts w:ascii="Calibri" w:hAnsi="Calibri"/>
          <w:b/>
          <w:color w:val="525866"/>
          <w:sz w:val="22"/>
        </w:rPr>
        <w:t xml:space="preserve">Implication: </w:t>
      </w:r>
      <w:r>
        <w:rPr>
          <w:rFonts w:ascii="Calibri" w:hAnsi="Calibri"/>
          <w:color w:val="525866"/>
          <w:sz w:val="22"/>
        </w:rPr>
        <w:t>Routine; no impact on earnings setup.</w:t>
      </w:r>
    </w:p>
    <w:p>
      <w:pPr>
        <w:pStyle w:val="ListBullet"/>
        <w:ind w:left="360" w:hanging="360"/>
      </w:pPr>
      <w:r>
        <w:rPr>
          <w:rFonts w:ascii="Calibri" w:hAnsi="Calibri"/>
          <w:b/>
          <w:color w:val="525866"/>
          <w:sz w:val="22"/>
        </w:rPr>
        <w:t xml:space="preserve">June 17, 2026 — Q2 2026 Earnings Webcast Announcement: </w:t>
      </w:r>
      <w:r>
        <w:rPr>
          <w:rFonts w:ascii="Calibri" w:hAnsi="Calibri"/>
          <w:color w:val="525866"/>
          <w:sz w:val="22"/>
        </w:rPr>
        <w:t xml:space="preserve">NTRS announced the Q2 2026 earnings conference call scheduled for July 22, 2026. </w:t>
      </w:r>
    </w:p>
    <w:p>
      <w:pPr>
        <w:pStyle w:val="ListBullet"/>
        <w:ind w:left="360" w:hanging="360"/>
      </w:pPr>
      <w:r>
        <w:rPr>
          <w:rFonts w:ascii="Calibri" w:hAnsi="Calibri"/>
          <w:b/>
          <w:color w:val="525866"/>
          <w:sz w:val="22"/>
        </w:rPr>
        <w:t xml:space="preserve">Implication: </w:t>
      </w:r>
      <w:r>
        <w:rPr>
          <w:rFonts w:ascii="Calibri" w:hAnsi="Calibri"/>
          <w:color w:val="525866"/>
          <w:sz w:val="22"/>
        </w:rPr>
        <w:t>Confirms earnings date; no incremental information.</w:t>
      </w:r>
    </w:p>
    <w:p>
      <w:pPr>
        <w:pStyle w:val="ListBullet"/>
        <w:ind w:left="360" w:hanging="360"/>
      </w:pPr>
      <w:r>
        <w:rPr>
          <w:rFonts w:ascii="Calibri" w:hAnsi="Calibri"/>
          <w:b/>
          <w:color w:val="525866"/>
          <w:sz w:val="22"/>
        </w:rPr>
        <w:t xml:space="preserve">Ongoing — Visa Class B Share Monetization: </w:t>
      </w:r>
      <w:r>
        <w:rPr>
          <w:rFonts w:ascii="Calibri" w:hAnsi="Calibri"/>
          <w:color w:val="525866"/>
          <w:sz w:val="22"/>
        </w:rPr>
        <w:t xml:space="preserve">Roughly half of NTRS's Visa Class B position becomes available in 2026, representing a meaningful pretax proceeds amount. CFO confirmed at the June conference that the 100% payout ratio target explicitly excludes the Visa gain, and the deployment decision is still being evaluated. </w:t>
      </w:r>
    </w:p>
    <w:p>
      <w:pPr>
        <w:pStyle w:val="ListBullet"/>
        <w:ind w:left="360" w:hanging="360"/>
      </w:pPr>
      <w:r>
        <w:rPr>
          <w:rFonts w:ascii="Calibri" w:hAnsi="Calibri"/>
          <w:b/>
          <w:color w:val="525866"/>
          <w:sz w:val="22"/>
        </w:rPr>
        <w:t xml:space="preserve">Implication: </w:t>
      </w:r>
      <w:r>
        <w:rPr>
          <w:rFonts w:ascii="Calibri" w:hAnsi="Calibri"/>
          <w:color w:val="525866"/>
          <w:sz w:val="22"/>
        </w:rPr>
        <w:t>Potential incremental capital return catalyst; any announcement on the Q2 call would be a positive surprise. The Visa gain is visible in the elevated Q2 consensus revenue figure ($2,485M vs. underlying ~$2,100M run-rate).</w:t>
      </w:r>
    </w:p>
    <w:p>
      <w:pPr>
        <w:pStyle w:val="ListBullet"/>
        <w:ind w:left="360" w:hanging="360"/>
      </w:pPr>
      <w:r>
        <w:rPr>
          <w:rFonts w:ascii="Calibri" w:hAnsi="Calibri"/>
          <w:b/>
          <w:color w:val="525866"/>
          <w:sz w:val="22"/>
        </w:rPr>
        <w:t xml:space="preserve">Sector Context — Broad Bank Earnings Season (July 2026): </w:t>
      </w:r>
      <w:r>
        <w:rPr>
          <w:rFonts w:ascii="Calibri" w:hAnsi="Calibri"/>
          <w:color w:val="525866"/>
          <w:sz w:val="22"/>
        </w:rPr>
        <w:t xml:space="preserve">JPMorgan (record profit, equity trading +86%), Goldman Sachs (EPS $20.98 vs. $14.49 consensus), Bank of America (EPS $1.21 vs. $1.13 consensus), and Morgan Stanley (revenue +27%) all reported strong Q2 results, confirming a broadly constructive operating environment for financial services. </w:t>
      </w:r>
    </w:p>
    <w:p>
      <w:pPr>
        <w:pStyle w:val="ListBullet"/>
        <w:ind w:left="360" w:hanging="360"/>
      </w:pPr>
      <w:r>
        <w:rPr>
          <w:rFonts w:ascii="Calibri" w:hAnsi="Calibri"/>
          <w:b/>
          <w:color w:val="525866"/>
          <w:sz w:val="22"/>
        </w:rPr>
        <w:t xml:space="preserve">Implication: </w:t>
      </w:r>
      <w:r>
        <w:rPr>
          <w:rFonts w:ascii="Calibri" w:hAnsi="Calibri"/>
          <w:color w:val="525866"/>
          <w:sz w:val="22"/>
        </w:rPr>
        <w:t>Positive macro backdrop for NTRS's fee income, FX revenues, and client activity; reduces tail risk of a macro-driven miss.</w:t>
      </w:r>
    </w:p>
    <w:p>
      <w:pPr>
        <w:pStyle w:val="ListBullet"/>
        <w:ind w:left="360" w:hanging="360"/>
      </w:pPr>
      <w:r>
        <w:rPr>
          <w:rFonts w:ascii="Calibri" w:hAnsi="Calibri"/>
          <w:b/>
          <w:color w:val="525866"/>
          <w:sz w:val="22"/>
        </w:rPr>
        <w:t xml:space="preserve">Barclays — April 22, 2026 — Rating Maintained at Equal Weight: </w:t>
      </w:r>
      <w:r>
        <w:rPr>
          <w:rFonts w:ascii="Calibri" w:hAnsi="Calibri"/>
          <w:color w:val="525866"/>
          <w:sz w:val="22"/>
        </w:rPr>
        <w:t xml:space="preserve">Barclays maintained its Equal Weight rating on NTRS following Q1 earnings. No price target change disclosed. </w:t>
      </w:r>
    </w:p>
    <w:p>
      <w:pPr>
        <w:pStyle w:val="ListBullet"/>
        <w:ind w:left="360" w:hanging="360"/>
      </w:pPr>
      <w:r>
        <w:rPr>
          <w:rFonts w:ascii="Calibri" w:hAnsi="Calibri"/>
          <w:b/>
          <w:color w:val="525866"/>
          <w:sz w:val="22"/>
        </w:rPr>
        <w:t xml:space="preserve">Implication: </w:t>
      </w:r>
      <w:r>
        <w:rPr>
          <w:rFonts w:ascii="Calibri" w:hAnsi="Calibri"/>
          <w:color w:val="525866"/>
          <w:sz w:val="22"/>
        </w:rPr>
        <w:t>No incremental analyst catalyst; no upgrades or downgrades since Q1 earnings in the available data.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earnings are 10b5-1 planned sales or small plan-driven dispositions — there are no discretionary open-market sales and one notable open-market buy by a director; the absence of discretionary selling and the presence of a director purchase are mildly constructive signals.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Robert Edward Moritz Jr.</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225 shares</w:t>
            </w:r>
          </w:p>
        </w:tc>
        <w:tc>
          <w:tcPr>
            <w:tcW w:type="dxa" w:w="1440"/>
          </w:tcPr>
          <w:p>
            <w:r>
              <w:rPr>
                <w:rFonts w:ascii="Calibri" w:hAnsi="Calibri"/>
                <w:sz w:val="22"/>
              </w:rPr>
              <w:t>May 1, 2026</w:t>
            </w:r>
          </w:p>
        </w:tc>
        <w:tc>
          <w:tcPr>
            <w:tcW w:type="dxa" w:w="1440"/>
          </w:tcPr>
          <w:p>
            <w:r>
              <w:rPr>
                <w:rFonts w:ascii="Calibri" w:hAnsi="Calibri"/>
                <w:sz w:val="22"/>
              </w:rPr>
              <w:t>10b5-1 plan; director purchase is constructive signal; added to 7,920 existing shares</w:t>
            </w:r>
          </w:p>
        </w:tc>
      </w:tr>
      <w:tr>
        <w:tc>
          <w:tcPr>
            <w:tcW w:type="dxa" w:w="1440"/>
          </w:tcPr>
          <w:p>
            <w:r>
              <w:rPr>
                <w:rFonts w:ascii="Calibri" w:hAnsi="Calibri"/>
                <w:sz w:val="22"/>
              </w:rPr>
              <w:t>Aengus Hallinan</w:t>
            </w:r>
          </w:p>
        </w:tc>
        <w:tc>
          <w:tcPr>
            <w:tcW w:type="dxa" w:w="1440"/>
          </w:tcPr>
          <w:p>
            <w:r>
              <w:rPr>
                <w:rFonts w:ascii="Calibri" w:hAnsi="Calibri"/>
                <w:sz w:val="22"/>
              </w:rPr>
              <w:t>Executive Vice President</w:t>
            </w:r>
          </w:p>
        </w:tc>
        <w:tc>
          <w:tcPr>
            <w:tcW w:type="dxa" w:w="1440"/>
          </w:tcPr>
          <w:p>
            <w:r>
              <w:rPr>
                <w:rFonts w:ascii="Calibri" w:hAnsi="Calibri"/>
                <w:sz w:val="22"/>
              </w:rPr>
              <w:t>10b5-1 Planned Sale</w:t>
            </w:r>
          </w:p>
        </w:tc>
        <w:tc>
          <w:tcPr>
            <w:tcW w:type="dxa" w:w="1440"/>
          </w:tcPr>
          <w:p>
            <w:r>
              <w:rPr>
                <w:rFonts w:ascii="Calibri" w:hAnsi="Calibri"/>
                <w:sz w:val="22"/>
              </w:rPr>
              <w:t>3,668 shares</w:t>
            </w:r>
          </w:p>
        </w:tc>
        <w:tc>
          <w:tcPr>
            <w:tcW w:type="dxa" w:w="1440"/>
          </w:tcPr>
          <w:p>
            <w:r>
              <w:rPr>
                <w:rFonts w:ascii="Calibri" w:hAnsi="Calibri"/>
                <w:sz w:val="22"/>
              </w:rPr>
              <w:t>Jun 3, 2026</w:t>
            </w:r>
          </w:p>
        </w:tc>
        <w:tc>
          <w:tcPr>
            <w:tcW w:type="dxa" w:w="1440"/>
          </w:tcPr>
          <w:p>
            <w:r>
              <w:rPr>
                <w:rFonts w:ascii="Calibri" w:hAnsi="Calibri"/>
                <w:sz w:val="22"/>
              </w:rPr>
              <w:t>Pre-planned 10b5-1 sale; routine; not discretionary</w:t>
            </w:r>
          </w:p>
        </w:tc>
      </w:tr>
      <w:tr>
        <w:tc>
          <w:tcPr>
            <w:tcW w:type="dxa" w:w="1440"/>
          </w:tcPr>
          <w:p>
            <w:r>
              <w:rPr>
                <w:rFonts w:ascii="Calibri" w:hAnsi="Calibri"/>
                <w:sz w:val="22"/>
              </w:rPr>
              <w:t>David W. Fox Jr.</w:t>
            </w:r>
          </w:p>
        </w:tc>
        <w:tc>
          <w:tcPr>
            <w:tcW w:type="dxa" w:w="1440"/>
          </w:tcPr>
          <w:p>
            <w:r>
              <w:rPr>
                <w:rFonts w:ascii="Calibri" w:hAnsi="Calibri"/>
                <w:sz w:val="22"/>
              </w:rPr>
              <w:t>EVP &amp; Chief Financial Officer</w:t>
            </w:r>
          </w:p>
        </w:tc>
        <w:tc>
          <w:tcPr>
            <w:tcW w:type="dxa" w:w="1440"/>
          </w:tcPr>
          <w:p>
            <w:r>
              <w:rPr>
                <w:rFonts w:ascii="Calibri" w:hAnsi="Calibri"/>
                <w:sz w:val="22"/>
              </w:rPr>
              <w:t>10b5-1 Planned Sale</w:t>
            </w:r>
          </w:p>
        </w:tc>
        <w:tc>
          <w:tcPr>
            <w:tcW w:type="dxa" w:w="1440"/>
          </w:tcPr>
          <w:p>
            <w:r>
              <w:rPr>
                <w:rFonts w:ascii="Calibri" w:hAnsi="Calibri"/>
                <w:sz w:val="22"/>
              </w:rPr>
              <w:t>19,987 shares (indirect, by trust)</w:t>
            </w:r>
          </w:p>
        </w:tc>
        <w:tc>
          <w:tcPr>
            <w:tcW w:type="dxa" w:w="1440"/>
          </w:tcPr>
          <w:p>
            <w:r>
              <w:rPr>
                <w:rFonts w:ascii="Calibri" w:hAnsi="Calibri"/>
                <w:sz w:val="22"/>
              </w:rPr>
              <w:t>Apr 28, 2026</w:t>
            </w:r>
          </w:p>
        </w:tc>
        <w:tc>
          <w:tcPr>
            <w:tcW w:type="dxa" w:w="1440"/>
          </w:tcPr>
          <w:p>
            <w:r>
              <w:rPr>
                <w:rFonts w:ascii="Calibri" w:hAnsi="Calibri"/>
                <w:sz w:val="22"/>
              </w:rPr>
              <w:t>Pre-planned 10b5-1 sale via trust; indirect ownership; not discretionary; CFO retains 18,588 shares post-transaction</w:t>
            </w:r>
          </w:p>
        </w:tc>
      </w:tr>
      <w:tr>
        <w:tc>
          <w:tcPr>
            <w:tcW w:type="dxa" w:w="1440"/>
          </w:tcPr>
          <w:p>
            <w:r>
              <w:rPr>
                <w:rFonts w:ascii="Calibri" w:hAnsi="Calibri"/>
                <w:sz w:val="22"/>
              </w:rPr>
              <w:t>David W. Fox Jr.</w:t>
            </w:r>
          </w:p>
        </w:tc>
        <w:tc>
          <w:tcPr>
            <w:tcW w:type="dxa" w:w="1440"/>
          </w:tcPr>
          <w:p>
            <w:r>
              <w:rPr>
                <w:rFonts w:ascii="Calibri" w:hAnsi="Calibri"/>
                <w:sz w:val="22"/>
              </w:rPr>
              <w:t>EVP &amp; Chief Financial Officer</w:t>
            </w:r>
          </w:p>
        </w:tc>
        <w:tc>
          <w:tcPr>
            <w:tcW w:type="dxa" w:w="1440"/>
          </w:tcPr>
          <w:p>
            <w:r>
              <w:rPr>
                <w:rFonts w:ascii="Calibri" w:hAnsi="Calibri"/>
                <w:sz w:val="22"/>
              </w:rPr>
              <w:t>10b5-1 Planned Sale</w:t>
            </w:r>
          </w:p>
        </w:tc>
        <w:tc>
          <w:tcPr>
            <w:tcW w:type="dxa" w:w="1440"/>
          </w:tcPr>
          <w:p>
            <w:r>
              <w:rPr>
                <w:rFonts w:ascii="Calibri" w:hAnsi="Calibri"/>
                <w:sz w:val="22"/>
              </w:rPr>
              <w:t>13 shares (indirect, by trust)</w:t>
            </w:r>
          </w:p>
        </w:tc>
        <w:tc>
          <w:tcPr>
            <w:tcW w:type="dxa" w:w="1440"/>
          </w:tcPr>
          <w:p>
            <w:r>
              <w:rPr>
                <w:rFonts w:ascii="Calibri" w:hAnsi="Calibri"/>
                <w:sz w:val="22"/>
              </w:rPr>
              <w:t>Apr 29, 2026</w:t>
            </w:r>
          </w:p>
        </w:tc>
        <w:tc>
          <w:tcPr>
            <w:tcW w:type="dxa" w:w="1440"/>
          </w:tcPr>
          <w:p>
            <w:r>
              <w:rPr>
                <w:rFonts w:ascii="Calibri" w:hAnsi="Calibri"/>
                <w:sz w:val="22"/>
              </w:rPr>
              <w:t>Small supplemental trust sale; pre-planned; not discretionary</w:t>
            </w:r>
          </w:p>
        </w:tc>
      </w:tr>
      <w:tr>
        <w:tc>
          <w:tcPr>
            <w:tcW w:type="dxa" w:w="1440"/>
          </w:tcPr>
          <w:p>
            <w:r>
              <w:rPr>
                <w:rFonts w:ascii="Calibri" w:hAnsi="Calibri"/>
                <w:sz w:val="22"/>
              </w:rPr>
              <w:t>Clive Bellows</w:t>
            </w:r>
          </w:p>
        </w:tc>
        <w:tc>
          <w:tcPr>
            <w:tcW w:type="dxa" w:w="1440"/>
          </w:tcPr>
          <w:p>
            <w:r>
              <w:rPr>
                <w:rFonts w:ascii="Calibri" w:hAnsi="Calibri"/>
                <w:sz w:val="22"/>
              </w:rPr>
              <w:t>Co-President, Asset Servicing</w:t>
            </w:r>
          </w:p>
        </w:tc>
        <w:tc>
          <w:tcPr>
            <w:tcW w:type="dxa" w:w="1440"/>
          </w:tcPr>
          <w:p>
            <w:r>
              <w:rPr>
                <w:rFonts w:ascii="Calibri" w:hAnsi="Calibri"/>
                <w:sz w:val="22"/>
              </w:rPr>
              <w:t>10b5-1 Planned Sale</w:t>
            </w:r>
          </w:p>
        </w:tc>
        <w:tc>
          <w:tcPr>
            <w:tcW w:type="dxa" w:w="1440"/>
          </w:tcPr>
          <w:p>
            <w:r>
              <w:rPr>
                <w:rFonts w:ascii="Calibri" w:hAnsi="Calibri"/>
                <w:sz w:val="22"/>
              </w:rPr>
              <w:t>2,800 shares</w:t>
            </w:r>
          </w:p>
        </w:tc>
        <w:tc>
          <w:tcPr>
            <w:tcW w:type="dxa" w:w="1440"/>
          </w:tcPr>
          <w:p>
            <w:r>
              <w:rPr>
                <w:rFonts w:ascii="Calibri" w:hAnsi="Calibri"/>
                <w:sz w:val="22"/>
              </w:rPr>
              <w:t>Apr 24, 2026</w:t>
            </w:r>
          </w:p>
        </w:tc>
        <w:tc>
          <w:tcPr>
            <w:tcW w:type="dxa" w:w="1440"/>
          </w:tcPr>
          <w:p>
            <w:r>
              <w:rPr>
                <w:rFonts w:ascii="Calibri" w:hAnsi="Calibri"/>
                <w:sz w:val="22"/>
              </w:rPr>
              <w:t>Pre-planned 10b5-1 sale; routine; retains 28,217 shares post-transaction</w:t>
            </w:r>
          </w:p>
        </w:tc>
      </w:tr>
    </w:tbl>
    <w:p>
      <w:r>
        <w:rPr>
          <w:rFonts w:ascii="Calibri" w:hAnsi="Calibri"/>
          <w:b/>
          <w:color w:val="525866"/>
          <w:sz w:val="22"/>
        </w:rPr>
        <w:t xml:space="preserve">Assessment: </w:t>
      </w:r>
      <w:r>
        <w:rPr>
          <w:rFonts w:ascii="Calibri" w:hAnsi="Calibri"/>
          <w:color w:val="525866"/>
          <w:sz w:val="22"/>
        </w:rPr>
        <w:t>All sales are pre-planned 10b5-1 transactions — none are discretionary open-market sales, which would be a more meaningful negative signal. The director open-market buy by Robert Moritz (225 shares, May 1) is a mildly constructive signal. The CFO's large trust sale (19,987 shares, Apr 28) occurred immediately after Q1 earnings and was pre-planned, consistent with routine post-vesting diversification. No unusual clustering of sales or large discretionary dispositions. Source: SEC Form 4 Filings (Insider Transaction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