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ue-earnings-predictions--2026-07-27"/>
    <w:p>
      <w:pPr>
        <w:pStyle w:val="Heading1"/>
      </w:pPr>
      <w:r>
        <w:t xml:space="preserve">NUE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4.55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Steel Mills segment pretax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implied EPS (one-time refund + Helion gain roll off)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4.35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steel shipment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~+8% vs. cons ~+6%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Steel-mills backlog / H2 sheet price catch-up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backlog ~4.7M+ tons vs. ~4.7M tons prior (Q3'26 entry)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Headline is fully pre-announced ($4.70-4.80 GAAP /</w:t>
            </w:r>
            <w:r>
              <w:t xml:space="preserve"> </w:t>
            </w:r>
            <m:oMath>
              <m:r>
                <m:t>4.50</m:t>
              </m:r>
              <m:r>
                <m:rPr>
                  <m:sty m:val="p"/>
                </m:rPr>
                <m:t>−</m:t>
              </m:r>
              <m:r>
                <m:t>4.60</m:t>
              </m:r>
              <m:r>
                <m:t>a</m:t>
              </m:r>
              <m:r>
                <m:t>d</m:t>
              </m:r>
              <m:r>
                <m:t>j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i</m:t>
              </m:r>
              <m:r>
                <m:t>n</m:t>
              </m:r>
              <m:r>
                <m:t>t</m:t>
              </m:r>
              <m:r>
                <m:t>i</m:t>
              </m:r>
              <m:r>
                <m:t>s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e</m:t>
              </m:r>
              <m:r>
                <m:t>d</m:t>
              </m:r>
              <m:r>
                <m:t>a</m:t>
              </m:r>
              <m:r>
                <m:t>n</m:t>
              </m:r>
              <m:r>
                <m:t>d</m:t>
              </m:r>
              <m:r>
                <m:t>o</m:t>
              </m:r>
              <m:r>
                <m:t>f</m:t>
              </m:r>
              <m:r>
                <m:t>f</m:t>
              </m:r>
              <m:r>
                <m:t>e</m:t>
              </m:r>
              <m:r>
                <m:t>r</m:t>
              </m:r>
              <m:r>
                <m:t>s</m:t>
              </m:r>
              <m:r>
                <m:t>l</m:t>
              </m:r>
              <m:r>
                <m:t>i</m:t>
              </m:r>
              <m:r>
                <m:t>t</m:t>
              </m:r>
              <m:r>
                <m:t>t</m:t>
              </m:r>
              <m:r>
                <m:t>l</m:t>
              </m:r>
              <m:r>
                <m:t>e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s</m:t>
              </m:r>
              <m:r>
                <m:t>u</m:t>
              </m:r>
              <m:r>
                <m:t>r</m:t>
              </m:r>
              <m:r>
                <m:t>p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Q</m:t>
              </m:r>
              <m:r>
                <m:t>2</m:t>
              </m:r>
              <m:r>
                <m:t>i</m:t>
              </m:r>
              <m:r>
                <m:t>s</m:t>
              </m:r>
              <m:r>
                <m:t>i</m:t>
              </m:r>
              <m:r>
                <m:t>n</m:t>
              </m:r>
              <m:r>
                <m:t>f</m:t>
              </m:r>
              <m:r>
                <m:t>l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 </m:t>
              </m:r>
            </m:oMath>
            <w:r>
              <w:t xml:space="preserve">130M one-time raw-materials refund and a ~$61M non-cash Helion gain that do not recur, so the out-period math implies a lower sequential Q3 even off a strong Q2 — analysts trim Q3 estimates. With the stock up ~46% YTD and rebounding into the print near cyclical highs, sell-the-news risk dominates; strong FY shipment/backlog commentary cushions but doesn't offset the implicit Q3 step-down, driving a fade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2026-07-27T00:55:52Z</dcterms:created>
  <dcterms:modified xsi:type="dcterms:W3CDTF">2026-07-27T00:55:52Z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