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NUE (Nucor) before writing the preview. Let me gather recent filings, transcripts, guidance, and market context.The Q2 guidance press release and Q1 results are key. Let me read the Q2 guidance, Q1 earnings release, and Q1 transcript.Now let me read the Q1 transcript for management commentary and check the stock price trend plus sector context.Let me get recent sector/steel context and check consensus estimates.Let me retry the web search for consensus estimates and steel price context.# Nucor Corporation (NUE) — Q2 2026 Earnings Preview</w:t>
      </w:r>
    </w:p>
    <w:p>
      <w:pPr>
        <w:pStyle w:val="BodyText"/>
      </w:pPr>
      <w:r>
        <w:rPr>
          <w:b/>
          <w:bCs/>
        </w:rPr>
        <w:t xml:space="preserve">Report timing:</w:t>
      </w:r>
      <w:r>
        <w:t xml:space="preserve"> </w:t>
      </w:r>
      <w:r>
        <w:t xml:space="preserve">Results after market close</w:t>
      </w:r>
      <w:r>
        <w:t xml:space="preserve"> </w:t>
      </w:r>
      <w:r>
        <w:rPr>
          <w:b/>
          <w:bCs/>
        </w:rPr>
        <w:t xml:space="preserve">Monday, July 27, 2026</w:t>
      </w:r>
      <w:r>
        <w:t xml:space="preserve">; conference call</w:t>
      </w:r>
      <w:r>
        <w:t xml:space="preserve"> </w:t>
      </w:r>
      <w:r>
        <w:rPr>
          <w:b/>
          <w:bCs/>
        </w:rPr>
        <w:t xml:space="preserve">Tuesday, July 28 at 10:00 a.m. ET.</w:t>
      </w:r>
      <w:r>
        <w:t xml:space="preserve"> </w:t>
      </w:r>
      <w:r>
        <w:rPr>
          <w:b/>
          <w:bCs/>
        </w:rPr>
        <w:t xml:space="preserve">Stock context:</w:t>
      </w:r>
      <w:r>
        <w:t xml:space="preserve"> </w:t>
      </w:r>
      <w:r>
        <w:t xml:space="preserve">~</w:t>
      </w:r>
      <m:oMath>
        <m:r>
          <m:t>248</m:t>
        </m:r>
        <m:r>
          <m:rPr>
            <m:sty m:val="p"/>
          </m:rPr>
          <m:t>(</m:t>
        </m:r>
        <m:r>
          <m:t>7</m:t>
        </m:r>
        <m:r>
          <m:rPr>
            <m:sty m:val="p"/>
          </m:rPr>
          <m:t>/</m:t>
        </m:r>
        <m:r>
          <m:t>24</m:t>
        </m:r>
        <m:r>
          <m:t>c</m:t>
        </m:r>
        <m:r>
          <m:t>l</m:t>
        </m:r>
        <m:r>
          <m:t>o</m:t>
        </m:r>
        <m:r>
          <m:t>s</m:t>
        </m:r>
        <m:r>
          <m:t>e</m:t>
        </m:r>
        <m:r>
          <m:rPr>
            <m:sty m:val="p"/>
          </m:rPr>
          <m:t>)</m:t>
        </m:r>
        <m:r>
          <m:rPr>
            <m:sty m:val="p"/>
          </m:rPr>
          <m:t>,</m:t>
        </m:r>
        <m:r>
          <m:t>u</m:t>
        </m:r>
        <m:r>
          <m:t>p</m:t>
        </m:r>
        <m:r>
          <m:t>r</m:t>
        </m:r>
        <m:r>
          <m:t>o</m:t>
        </m:r>
        <m:r>
          <m:t>u</m:t>
        </m:r>
        <m:r>
          <m:t>g</m:t>
        </m:r>
        <m:r>
          <m:t>h</m:t>
        </m:r>
        <m:r>
          <m:t>l</m:t>
        </m:r>
        <m:r>
          <m:t>y</m:t>
        </m:r>
        <m:r>
          <m:rPr>
            <m:sty m:val="p"/>
          </m:rPr>
          <m:t>*</m:t>
        </m:r>
        <m:r>
          <m:rPr>
            <m:sty m:val="p"/>
          </m:rPr>
          <m:t>*</m:t>
        </m:r>
        <m:r>
          <m:t>46</m:t>
        </m:r>
      </m:oMath>
      <w:r>
        <w:t xml:space="preserve">266) and a brief early-July pullback (~$219).</w:t>
      </w:r>
    </w:p>
    <w:p>
      <w:r>
        <w:pict>
          <v:rect style="width:0;height:1.5pt" o:hralign="center" o:hrstd="t" o:hr="t"/>
        </w:pict>
      </w:r>
    </w:p>
    <w:bookmarkStart w:id="9" w:name="the-one-line-setup"/>
    <w:p>
      <w:pPr>
        <w:pStyle w:val="Heading2"/>
      </w:pPr>
      <w:r>
        <w:t xml:space="preserve">The One-Line Setup</w:t>
      </w:r>
    </w:p>
    <w:p>
      <w:pPr>
        <w:pStyle w:val="FirstParagraph"/>
      </w:pPr>
      <w:r>
        <w:t xml:space="preserve">Nucor already told the market this is going to be a very strong quarter. On</w:t>
      </w:r>
      <w:r>
        <w:t xml:space="preserve"> </w:t>
      </w:r>
      <w:r>
        <w:rPr>
          <w:b/>
          <w:bCs/>
        </w:rPr>
        <w:t xml:space="preserve">June 17</w:t>
      </w:r>
      <w:r>
        <w:t xml:space="preserve"> </w:t>
      </w:r>
      <w:r>
        <w:t xml:space="preserve">it pre-announced Q2 GAAP EPS of</w:t>
      </w:r>
      <w:r>
        <w:t xml:space="preserve"> </w:t>
      </w:r>
      <m:oMath>
        <m:r>
          <m:t>4.70</m:t>
        </m:r>
        <m:r>
          <m:rPr>
            <m:sty m:val="p"/>
          </m:rPr>
          <m:t>–</m:t>
        </m:r>
      </m:oMath>
      <w:r>
        <w:rPr>
          <w:b/>
          <w:bCs/>
        </w:rPr>
        <w:t xml:space="preserve">4.80</w:t>
      </w:r>
      <w:r>
        <w:t xml:space="preserve">, and</w:t>
      </w:r>
      <w:r>
        <w:t xml:space="preserve"> </w:t>
      </w:r>
      <m:oMath>
        <m:r>
          <m:t>4.50</m:t>
        </m:r>
        <m:r>
          <m:rPr>
            <m:sty m:val="p"/>
          </m:rPr>
          <m:t>–</m:t>
        </m:r>
      </m:oMath>
      <w:r>
        <w:rPr>
          <w:b/>
          <w:bCs/>
        </w:rPr>
        <w:t xml:space="preserve">4.60 adjusted</w:t>
      </w:r>
      <w:r>
        <w:t xml:space="preserve"> </w:t>
      </w:r>
      <w:r>
        <w:t xml:space="preserve">(excluding a ~</w:t>
      </w:r>
      <m:oMath>
        <m:r>
          <m:t>0.20</m:t>
        </m:r>
        <m:r>
          <m:rPr>
            <m:sty m:val="p"/>
          </m:rPr>
          <m:t>/</m:t>
        </m:r>
        <m:r>
          <m:t>s</m:t>
        </m:r>
        <m:r>
          <m:t>h</m:t>
        </m:r>
        <m:r>
          <m:t>a</m:t>
        </m:r>
        <m:r>
          <m:t>r</m:t>
        </m:r>
        <m:r>
          <m:t>e</m:t>
        </m:r>
        <m:r>
          <m:rPr>
            <m:sty m:val="p"/>
          </m:rPr>
          <m:t>,</m:t>
        </m:r>
        <m:r>
          <m:t> </m:t>
        </m:r>
      </m:oMath>
      <w:r>
        <w:t xml:space="preserve">61M non-cash gain on its stake in fusion startup</w:t>
      </w:r>
      <w:r>
        <w:t xml:space="preserve"> </w:t>
      </w:r>
      <w:r>
        <w:rPr>
          <w:b/>
          <w:bCs/>
        </w:rPr>
        <w:t xml:space="preserve">Helion</w:t>
      </w:r>
      <w:r>
        <w:t xml:space="preserve">). That compares to</w:t>
      </w:r>
      <w:r>
        <w:t xml:space="preserve"> </w:t>
      </w:r>
      <m:oMath>
        <m:r>
          <m:t>3.23</m:t>
        </m:r>
        <m:r>
          <m:rPr>
            <m:sty m:val="p"/>
          </m:rPr>
          <m:t>*</m:t>
        </m:r>
        <m:r>
          <m:rPr>
            <m:sty m:val="p"/>
          </m:rPr>
          <m:t>*</m:t>
        </m:r>
        <m:r>
          <m:t>i</m:t>
        </m:r>
        <m:r>
          <m:t>n</m:t>
        </m:r>
        <m:r>
          <m:t>Q</m:t>
        </m:r>
        <m:r>
          <m:t>1</m:t>
        </m:r>
        <m:r>
          <m:t>2026</m:t>
        </m:r>
        <m:r>
          <m:t>a</m:t>
        </m:r>
        <m:r>
          <m:t>n</m:t>
        </m:r>
        <m:r>
          <m:t>d</m:t>
        </m:r>
        <m:r>
          <m:rPr>
            <m:sty m:val="p"/>
          </m:rPr>
          <m:t>*</m:t>
        </m:r>
        <m:r>
          <m:rPr>
            <m:sty m:val="p"/>
          </m:rPr>
          <m:t>*</m:t>
        </m:r>
      </m:oMath>
      <w:r>
        <w:rPr>
          <w:b/>
          <w:bCs/>
        </w:rPr>
        <w:t xml:space="preserve">2.60</w:t>
      </w:r>
      <w:r>
        <w:t xml:space="preserve"> </w:t>
      </w:r>
      <w:r>
        <w:t xml:space="preserve">in Q2 2025 — a sequential step-up and a ~75–80% YoY jump. Because guidance is out, the print itself carries less surprise risk than usual;</w:t>
      </w:r>
      <w:r>
        <w:t xml:space="preserve"> </w:t>
      </w:r>
      <w:r>
        <w:rPr>
          <w:b/>
          <w:bCs/>
        </w:rPr>
        <w:t xml:space="preserve">the call, the margin details, and the second-half outlook are what matter.</w:t>
      </w:r>
    </w:p>
    <w:p>
      <w:r>
        <w:pict>
          <v:rect style="width:0;height:1.5pt" o:hralign="center" o:hrstd="t" o:hr="t"/>
        </w:pict>
      </w:r>
    </w:p>
    <w:bookmarkEnd w:id="9"/>
    <w:bookmarkStart w:id="10" w:name="what-management-has-already-guided"/>
    <w:p>
      <w:pPr>
        <w:pStyle w:val="Heading2"/>
      </w:pPr>
      <w:r>
        <w:t xml:space="preserve">What Management Has Already Guided</w:t>
      </w:r>
    </w:p>
    <w:p>
      <w:pPr>
        <w:pStyle w:val="FirstParagraph"/>
      </w:pPr>
      <w:r>
        <w:t xml:space="preserve">All three segments are expected to improve sequentially, with</w:t>
      </w:r>
      <w:r>
        <w:t xml:space="preserve"> </w:t>
      </w:r>
      <w:r>
        <w:rPr>
          <w:b/>
          <w:bCs/>
        </w:rPr>
        <w:t xml:space="preserve">steel mills</w:t>
      </w:r>
      <w:r>
        <w:t xml:space="preserve"> </w:t>
      </w:r>
      <w:r>
        <w:t xml:space="preserve">the largest driver:</w:t>
      </w:r>
    </w:p>
    <w:p>
      <w:pPr>
        <w:pStyle w:val="Compact"/>
        <w:numPr>
          <w:ilvl w:val="0"/>
          <w:numId w:val="1001"/>
        </w:numPr>
      </w:pPr>
      <w:r>
        <w:rPr>
          <w:b/>
          <w:bCs/>
        </w:rPr>
        <w:t xml:space="preserve">Steel Mills:</w:t>
      </w:r>
      <w:r>
        <w:t xml:space="preserve"> </w:t>
      </w:r>
      <w:r>
        <w:t xml:space="preserve">higher average selling prices on</w:t>
      </w:r>
      <w:r>
        <w:t xml:space="preserve"> </w:t>
      </w:r>
      <w:r>
        <w:rPr>
          <w:b/>
          <w:bCs/>
        </w:rPr>
        <w:t xml:space="preserve">stable volumes</w:t>
      </w:r>
      <w:r>
        <w:t xml:space="preserve">, plus a one-time tailwind —</w:t>
      </w:r>
      <w:r>
        <w:t xml:space="preserve"> </w:t>
      </w:r>
      <w:r>
        <w:rPr>
          <w:b/>
          <w:bCs/>
        </w:rPr>
        <w:t xml:space="preserve">~$130M of cash refunds</w:t>
      </w:r>
      <w:r>
        <w:t xml:space="preserve"> </w:t>
      </w:r>
      <w:r>
        <w:t xml:space="preserve">tied to prior-period raw-materials procurement that will lower COGS this quarter. Watch how much of the beat is this refund vs. underlying metal spread.</w:t>
      </w:r>
    </w:p>
    <w:p>
      <w:pPr>
        <w:pStyle w:val="Compact"/>
        <w:numPr>
          <w:ilvl w:val="0"/>
          <w:numId w:val="1001"/>
        </w:numPr>
      </w:pPr>
      <w:r>
        <w:rPr>
          <w:b/>
          <w:bCs/>
        </w:rPr>
        <w:t xml:space="preserve">Steel Products:</w:t>
      </w:r>
      <w:r>
        <w:t xml:space="preserve"> </w:t>
      </w:r>
      <w:r>
        <w:t xml:space="preserve">higher volumes and slightly higher realized pricing (border-fence tubular demand, data-center-driven joist &amp; deck).</w:t>
      </w:r>
    </w:p>
    <w:p>
      <w:pPr>
        <w:pStyle w:val="Compact"/>
        <w:numPr>
          <w:ilvl w:val="0"/>
          <w:numId w:val="1001"/>
        </w:numPr>
      </w:pPr>
      <w:r>
        <w:rPr>
          <w:b/>
          <w:bCs/>
        </w:rPr>
        <w:t xml:space="preserve">Raw Materials:</w:t>
      </w:r>
      <w:r>
        <w:t xml:space="preserve"> </w:t>
      </w:r>
      <w:r>
        <w:t xml:space="preserve">higher earnings on improved realized DRI pricing.</w:t>
      </w:r>
    </w:p>
    <w:p>
      <w:pPr>
        <w:pStyle w:val="FirstParagraph"/>
      </w:pPr>
      <w:r>
        <w:t xml:space="preserve">The</w:t>
      </w:r>
      <w:r>
        <w:t xml:space="preserve"> </w:t>
      </w:r>
      <m:oMath>
        <m:r>
          <m:t>61</m:t>
        </m:r>
        <m:r>
          <m:t>M</m:t>
        </m:r>
        <m:r>
          <m:t>H</m:t>
        </m:r>
        <m:r>
          <m:t>e</m:t>
        </m:r>
        <m:r>
          <m:t>l</m:t>
        </m:r>
        <m:r>
          <m:t>i</m:t>
        </m:r>
        <m:r>
          <m:t>o</m:t>
        </m:r>
        <m:r>
          <m:t>n</m:t>
        </m:r>
        <m:r>
          <m:t>m</m:t>
        </m:r>
        <m:r>
          <m:t>a</m:t>
        </m:r>
        <m:r>
          <m:t>r</m:t>
        </m:r>
        <m:r>
          <m:t>k</m:t>
        </m:r>
        <m:r>
          <m:rPr>
            <m:sty m:val="p"/>
          </m:rPr>
          <m:t>−</m:t>
        </m:r>
        <m:r>
          <m:t>u</m:t>
        </m:r>
        <m:r>
          <m:t>p</m:t>
        </m:r>
        <m:r>
          <m:rPr>
            <m:sty m:val="p"/>
          </m:rPr>
          <m:t>*</m:t>
        </m:r>
        <m:r>
          <m:rPr>
            <m:sty m:val="p"/>
          </m:rPr>
          <m:t>*</m:t>
        </m:r>
        <m:r>
          <m:t>i</m:t>
        </m:r>
        <m:r>
          <m:t>s</m:t>
        </m:r>
        <m:r>
          <m:t>n</m:t>
        </m:r>
        <m:r>
          <m:t>o</m:t>
        </m:r>
        <m:r>
          <m:t>n</m:t>
        </m:r>
        <m:r>
          <m:rPr>
            <m:sty m:val="p"/>
          </m:rPr>
          <m:t>−</m:t>
        </m:r>
        <m:r>
          <m:t>c</m:t>
        </m:r>
        <m:r>
          <m:t>a</m:t>
        </m:r>
        <m:r>
          <m:t>s</m:t>
        </m:r>
        <m:r>
          <m:t>h</m:t>
        </m:r>
        <m:r>
          <m:t>a</m:t>
        </m:r>
        <m:r>
          <m:t>n</m:t>
        </m:r>
        <m:r>
          <m:t>d</m:t>
        </m:r>
        <m:r>
          <m:t>n</m:t>
        </m:r>
        <m:r>
          <m:t>o</m:t>
        </m:r>
        <m:r>
          <m:t>n</m:t>
        </m:r>
        <m:r>
          <m:rPr>
            <m:sty m:val="p"/>
          </m:rPr>
          <m:t>−</m:t>
        </m:r>
        <m:r>
          <m:t>o</m:t>
        </m:r>
        <m:r>
          <m:t>p</m:t>
        </m:r>
        <m:r>
          <m:t>e</m:t>
        </m:r>
        <m:r>
          <m:t>r</m:t>
        </m:r>
        <m:r>
          <m:t>a</m:t>
        </m:r>
        <m:r>
          <m:t>t</m:t>
        </m:r>
        <m:r>
          <m:t>i</m:t>
        </m:r>
        <m:r>
          <m:t>n</m:t>
        </m:r>
        <m:r>
          <m:t>g</m:t>
        </m:r>
        <m:r>
          <m:rPr>
            <m:sty m:val="p"/>
          </m:rPr>
          <m:t>—</m:t>
        </m:r>
        <m:r>
          <m:t>e</m:t>
        </m:r>
        <m:r>
          <m:t>x</m:t>
        </m:r>
        <m:r>
          <m:t>p</m:t>
        </m:r>
        <m:r>
          <m:t>e</m:t>
        </m:r>
        <m:r>
          <m:t>c</m:t>
        </m:r>
        <m:r>
          <m:t>t</m:t>
        </m:r>
        <m:r>
          <m:t>a</m:t>
        </m:r>
        <m:r>
          <m:t>n</m:t>
        </m:r>
        <m:r>
          <m:t>a</m:t>
        </m:r>
        <m:r>
          <m:t>l</m:t>
        </m:r>
        <m:r>
          <m:t>y</m:t>
        </m:r>
        <m:r>
          <m:t>s</m:t>
        </m:r>
        <m:r>
          <m:t>t</m:t>
        </m:r>
        <m:r>
          <m:t>s</m:t>
        </m:r>
        <m:r>
          <m:t>t</m:t>
        </m:r>
        <m:r>
          <m:t>o</m:t>
        </m:r>
        <m:r>
          <m:t>f</m:t>
        </m:r>
        <m:r>
          <m:t>o</m:t>
        </m:r>
        <m:r>
          <m:t>c</m:t>
        </m:r>
        <m:r>
          <m:t>u</m:t>
        </m:r>
        <m:r>
          <m:t>s</m:t>
        </m:r>
        <m:r>
          <m:t>o</m:t>
        </m:r>
        <m:r>
          <m:t>n</m:t>
        </m:r>
        <m:r>
          <m:t>t</m:t>
        </m:r>
        <m:r>
          <m:t>h</m:t>
        </m:r>
        <m:r>
          <m:t>e</m:t>
        </m:r>
        <m:r>
          <m:rPr>
            <m:sty m:val="p"/>
          </m:rPr>
          <m:t>*</m:t>
        </m:r>
        <m:r>
          <m:rPr>
            <m:sty m:val="p"/>
          </m:rPr>
          <m:t>*</m:t>
        </m:r>
      </m:oMath>
      <w:r>
        <w:rPr>
          <w:b/>
          <w:bCs/>
        </w:rPr>
        <w:t xml:space="preserve">4.50–$4.60 adjusted</w:t>
      </w:r>
      <w:r>
        <w:t xml:space="preserve"> </w:t>
      </w:r>
      <w:r>
        <w:t xml:space="preserve">figure as the true run-rate.</w:t>
      </w:r>
    </w:p>
    <w:p>
      <w:r>
        <w:pict>
          <v:rect style="width:0;height:1.5pt" o:hralign="center" o:hrstd="t" o:hr="t"/>
        </w:pict>
      </w:r>
    </w:p>
    <w:bookmarkEnd w:id="10"/>
    <w:bookmarkStart w:id="11" w:name="q1-2026-recap-the-momentum-going-in"/>
    <w:p>
      <w:pPr>
        <w:pStyle w:val="Heading2"/>
      </w:pPr>
      <w:r>
        <w:t xml:space="preserve">Q1 2026 Recap (the momentum going in)</w:t>
      </w:r>
    </w:p>
    <w:p>
      <w:pPr>
        <w:pStyle w:val="Compact"/>
        <w:numPr>
          <w:ilvl w:val="0"/>
          <w:numId w:val="1002"/>
        </w:numPr>
      </w:pPr>
      <w:r>
        <w:rPr>
          <w:b/>
          <w:bCs/>
        </w:rPr>
        <w:t xml:space="preserve">EPS</w:t>
      </w:r>
      <w:r>
        <w:rPr>
          <w:b/>
          <w:bCs/>
        </w:rPr>
        <w:t xml:space="preserve"> </w:t>
      </w:r>
      <m:oMath>
        <m:r>
          <m:t>3.23</m:t>
        </m:r>
        <m:r>
          <m:rPr>
            <m:sty m:val="p"/>
          </m:rPr>
          <m:t>*</m:t>
        </m:r>
        <m:r>
          <m:rPr>
            <m:sty m:val="p"/>
          </m:rPr>
          <m:t>*</m:t>
        </m:r>
        <m:r>
          <m:rPr>
            <m:sty m:val="p"/>
          </m:rPr>
          <m:t>,</m:t>
        </m:r>
        <m:r>
          <m:t>n</m:t>
        </m:r>
        <m:r>
          <m:t>e</m:t>
        </m:r>
        <m:r>
          <m:t>t</m:t>
        </m:r>
        <m:r>
          <m:t>s</m:t>
        </m:r>
        <m:r>
          <m:t>a</m:t>
        </m:r>
        <m:r>
          <m:t>l</m:t>
        </m:r>
        <m:r>
          <m:t>e</m:t>
        </m:r>
        <m:r>
          <m:t>s</m:t>
        </m:r>
        <m:r>
          <m:rPr>
            <m:sty m:val="p"/>
          </m:rPr>
          <m:t>*</m:t>
        </m:r>
        <m:r>
          <m:rPr>
            <m:sty m:val="p"/>
          </m:rPr>
          <m:t>*</m:t>
        </m:r>
      </m:oMath>
      <w:r>
        <w:rPr>
          <w:b/>
          <w:bCs/>
        </w:rPr>
        <w:t xml:space="preserve">9.50B</w:t>
      </w:r>
      <w:r>
        <w:t xml:space="preserve">, **EBITDA</w:t>
      </w:r>
      <w:r>
        <w:t xml:space="preserve"> </w:t>
      </w:r>
      <m:oMath>
        <m:r>
          <m:t>1.51</m:t>
        </m:r>
        <m:r>
          <m:t>B</m:t>
        </m:r>
        <m:r>
          <m:rPr>
            <m:sty m:val="p"/>
          </m:rPr>
          <m:t>*</m:t>
        </m:r>
        <m:r>
          <m:rPr>
            <m:sty m:val="p"/>
          </m:rPr>
          <m:t>*</m:t>
        </m:r>
        <m:r>
          <m:rPr>
            <m:sty m:val="p"/>
          </m:rPr>
          <m:t>—</m:t>
        </m:r>
        <m:r>
          <m:t>a</m:t>
        </m:r>
        <m:r>
          <m:t> </m:t>
        </m:r>
      </m:oMath>
      <w:r>
        <w:t xml:space="preserve">0.50 beat vs. the guidance midpoint.</w:t>
      </w:r>
    </w:p>
    <w:p>
      <w:pPr>
        <w:pStyle w:val="Compact"/>
        <w:numPr>
          <w:ilvl w:val="0"/>
          <w:numId w:val="1002"/>
        </w:numPr>
      </w:pPr>
      <w:r>
        <w:rPr>
          <w:b/>
          <w:bCs/>
        </w:rPr>
        <w:t xml:space="preserve">Record steel-mill shipments of 7.0M tons</w:t>
      </w:r>
      <w:r>
        <w:t xml:space="preserve">; sheet, plate and rebar all set quarterly records.</w:t>
      </w:r>
    </w:p>
    <w:p>
      <w:pPr>
        <w:pStyle w:val="Compact"/>
        <w:numPr>
          <w:ilvl w:val="0"/>
          <w:numId w:val="1002"/>
        </w:numPr>
      </w:pPr>
      <w:r>
        <w:rPr>
          <w:b/>
          <w:bCs/>
        </w:rPr>
        <w:t xml:space="preserve">Steel-mills backlog of 4.7M tons</w:t>
      </w:r>
      <w:r>
        <w:t xml:space="preserve">, +20% from year-end and the highest since Q2 2021; steel-products backlog +9%.</w:t>
      </w:r>
    </w:p>
    <w:p>
      <w:pPr>
        <w:pStyle w:val="Compact"/>
        <w:numPr>
          <w:ilvl w:val="0"/>
          <w:numId w:val="1002"/>
        </w:numPr>
      </w:pPr>
      <w:r>
        <w:t xml:space="preserve">Utilization</w:t>
      </w:r>
      <w:r>
        <w:t xml:space="preserve"> </w:t>
      </w:r>
      <w:r>
        <w:rPr>
          <w:b/>
          <w:bCs/>
        </w:rPr>
        <w:t xml:space="preserve">86%</w:t>
      </w:r>
      <w:r>
        <w:t xml:space="preserve"> </w:t>
      </w:r>
      <w:r>
        <w:t xml:space="preserve">(vs. 80% a year earlier), with management citing ~87% company-wide and room to run.</w:t>
      </w:r>
    </w:p>
    <w:p>
      <w:pPr>
        <w:pStyle w:val="Compact"/>
        <w:numPr>
          <w:ilvl w:val="0"/>
          <w:numId w:val="1002"/>
        </w:numPr>
      </w:pPr>
      <w:r>
        <w:t xml:space="preserve">Segment pretax: Steel Mills</w:t>
      </w:r>
      <w:r>
        <w:t xml:space="preserve"> </w:t>
      </w:r>
      <m:oMath>
        <m:r>
          <m:t>1</m:t>
        </m:r>
        <m:r>
          <m:rPr>
            <m:sty m:val="p"/>
          </m:rPr>
          <m:t>,</m:t>
        </m:r>
        <m:r>
          <m:t>128</m:t>
        </m:r>
        <m:r>
          <m:t>M</m:t>
        </m:r>
        <m:r>
          <m:rPr>
            <m:sty m:val="p"/>
          </m:rPr>
          <m:t>*</m:t>
        </m:r>
        <m:r>
          <m:rPr>
            <m:sty m:val="p"/>
          </m:rPr>
          <m:t>*</m:t>
        </m:r>
        <m:r>
          <m:rPr>
            <m:sty m:val="p"/>
          </m:rPr>
          <m:t>,</m:t>
        </m:r>
        <m:r>
          <m:t>S</m:t>
        </m:r>
        <m:r>
          <m:t>t</m:t>
        </m:r>
        <m:r>
          <m:t>e</m:t>
        </m:r>
        <m:r>
          <m:t>e</m:t>
        </m:r>
        <m:r>
          <m:t>l</m:t>
        </m:r>
        <m:r>
          <m:t>P</m:t>
        </m:r>
        <m:r>
          <m:t>r</m:t>
        </m:r>
        <m:r>
          <m:t>o</m:t>
        </m:r>
        <m:r>
          <m:t>d</m:t>
        </m:r>
        <m:r>
          <m:t>u</m:t>
        </m:r>
        <m:r>
          <m:t>c</m:t>
        </m:r>
        <m:r>
          <m:t>t</m:t>
        </m:r>
        <m:r>
          <m:t>s</m:t>
        </m:r>
        <m:r>
          <m:rPr>
            <m:sty m:val="p"/>
          </m:rPr>
          <m:t>*</m:t>
        </m:r>
        <m:r>
          <m:rPr>
            <m:sty m:val="p"/>
          </m:rPr>
          <m:t>*</m:t>
        </m:r>
      </m:oMath>
      <w:r>
        <w:rPr>
          <w:b/>
          <w:bCs/>
        </w:rPr>
        <w:t xml:space="preserve">285M</w:t>
      </w:r>
      <w:r>
        <w:t xml:space="preserve">, Raw Materials</w:t>
      </w:r>
      <w:r>
        <w:t xml:space="preserve"> </w:t>
      </w:r>
      <w:r>
        <w:rPr>
          <w:b/>
          <w:bCs/>
        </w:rPr>
        <w:t xml:space="preserve">$45M</w:t>
      </w:r>
      <w:r>
        <w:t xml:space="preserve">.</w:t>
      </w:r>
    </w:p>
    <w:p>
      <w:pPr>
        <w:pStyle w:val="FirstParagraph"/>
      </w:pPr>
      <w:r>
        <w:t xml:space="preserve">On the Q1 call, CEO Leon Topalian struck an unusually bullish tone, arguing the "pent-up tsunami of earnings power" from ~$20B of investments since 2020 is only beginning to hit the P&amp;L. Management also nudged full-year shipment growth above the prior "+5%" and hinted Q2 YoY volume growth could push toward double digits.</w:t>
      </w:r>
    </w:p>
    <w:p>
      <w:r>
        <w:pict>
          <v:rect style="width:0;height:1.5pt" o:hralign="center" o:hrstd="t" o:hr="t"/>
        </w:pict>
      </w:r>
    </w:p>
    <w:bookmarkEnd w:id="11"/>
    <w:bookmarkStart w:id="12" w:name="key-debates-for-the-call"/>
    <w:p>
      <w:pPr>
        <w:pStyle w:val="Heading2"/>
      </w:pPr>
      <w:r>
        <w:t xml:space="preserve">Key Debates for the Call</w:t>
      </w:r>
    </w:p>
    <w:p>
      <w:pPr>
        <w:pStyle w:val="Compact"/>
        <w:numPr>
          <w:ilvl w:val="0"/>
          <w:numId w:val="1003"/>
        </w:numPr>
      </w:pPr>
      <w:r>
        <w:rPr>
          <w:b/>
          <w:bCs/>
        </w:rPr>
        <w:t xml:space="preserve">Price catch-up / lag dynamics.</w:t>
      </w:r>
      <w:r>
        <w:t xml:space="preserve"> </w:t>
      </w:r>
      <w:r>
        <w:t xml:space="preserve">Sheet is ~70–80% contract, so realized prices lag the spot market on the way up. With</w:t>
      </w:r>
      <w:r>
        <w:t xml:space="preserve"> </w:t>
      </w:r>
      <w:r>
        <w:rPr>
          <w:b/>
          <w:bCs/>
        </w:rPr>
        <w:t xml:space="preserve">HRC around $1,200/ton (up ~40%+ YoY)</w:t>
      </w:r>
      <w:r>
        <w:t xml:space="preserve">, the question is how much of the current spot strength flows into Q3–Q4 realizations. Positive for the back half; watch commentary on where lead times and order books sit now.</w:t>
      </w:r>
    </w:p>
    <w:p>
      <w:pPr>
        <w:pStyle w:val="Compact"/>
        <w:numPr>
          <w:ilvl w:val="0"/>
          <w:numId w:val="1003"/>
        </w:numPr>
      </w:pPr>
      <w:r>
        <w:rPr>
          <w:b/>
          <w:bCs/>
        </w:rPr>
        <w:t xml:space="preserve">Cost side.</w:t>
      </w:r>
      <w:r>
        <w:t xml:space="preserve"> </w:t>
      </w:r>
      <w:r>
        <w:t xml:space="preserve">Scrap/scrap-substitute cost was</w:t>
      </w:r>
      <w:r>
        <w:t xml:space="preserve"> </w:t>
      </w:r>
      <w:r>
        <w:rPr>
          <w:b/>
          <w:bCs/>
        </w:rPr>
        <w:t xml:space="preserve">$403/gross ton</w:t>
      </w:r>
      <w:r>
        <w:t xml:space="preserve"> </w:t>
      </w:r>
      <w:r>
        <w:t xml:space="preserve">in Q1 (+6% q/q). Management flagged margin compression in longer-lead downstream products (fab rebar, joist &amp; deck) from rising substrate costs — they expect this to ease. Also watch</w:t>
      </w:r>
      <w:r>
        <w:t xml:space="preserve"> </w:t>
      </w:r>
      <w:r>
        <w:rPr>
          <w:b/>
          <w:bCs/>
        </w:rPr>
        <w:t xml:space="preserve">energy</w:t>
      </w:r>
      <w:r>
        <w:t xml:space="preserve"> </w:t>
      </w:r>
      <w:r>
        <w:t xml:space="preserve">(mgmt frames it as ~10% of steelmaking cost, largely hedged/power-based).</w:t>
      </w:r>
    </w:p>
    <w:p>
      <w:pPr>
        <w:pStyle w:val="Compact"/>
        <w:numPr>
          <w:ilvl w:val="0"/>
          <w:numId w:val="1003"/>
        </w:numPr>
      </w:pPr>
      <w:r>
        <w:rPr>
          <w:b/>
          <w:bCs/>
        </w:rPr>
        <w:t xml:space="preserve">Demand durability.</w:t>
      </w:r>
      <w:r>
        <w:t xml:space="preserve"> </w:t>
      </w:r>
      <w:r>
        <w:t xml:space="preserve">Bulls point to data centers, energy, infrastructure, border fence and reshoring; softer pockets remain in consumer cyclicals, traditional office, heavy equipment and ag. Management sees domestic consumption</w:t>
      </w:r>
      <w:r>
        <w:t xml:space="preserve"> </w:t>
      </w:r>
      <w:r>
        <w:rPr>
          <w:b/>
          <w:bCs/>
        </w:rPr>
        <w:t xml:space="preserve">flat to +2%</w:t>
      </w:r>
      <w:r>
        <w:t xml:space="preserve"> </w:t>
      </w:r>
      <w:r>
        <w:t xml:space="preserve">for 2026, with Nucor outgrowing the market via share gains and new capacity.</w:t>
      </w:r>
    </w:p>
    <w:p>
      <w:pPr>
        <w:pStyle w:val="Compact"/>
        <w:numPr>
          <w:ilvl w:val="0"/>
          <w:numId w:val="1003"/>
        </w:numPr>
      </w:pPr>
      <w:r>
        <w:rPr>
          <w:b/>
          <w:bCs/>
        </w:rPr>
        <w:t xml:space="preserve">Trade policy.</w:t>
      </w:r>
      <w:r>
        <w:t xml:space="preserve"> </w:t>
      </w:r>
      <w:r>
        <w:t xml:space="preserve">The</w:t>
      </w:r>
      <w:r>
        <w:t xml:space="preserve"> </w:t>
      </w:r>
      <w:r>
        <w:rPr>
          <w:b/>
          <w:bCs/>
        </w:rPr>
        <w:t xml:space="preserve">50% Section 232 tariff</w:t>
      </w:r>
      <w:r>
        <w:t xml:space="preserve"> </w:t>
      </w:r>
      <w:r>
        <w:t xml:space="preserve">and derivative-product changes have pushed finished-steel</w:t>
      </w:r>
      <w:r>
        <w:t xml:space="preserve"> </w:t>
      </w:r>
      <w:r>
        <w:rPr>
          <w:b/>
          <w:bCs/>
        </w:rPr>
        <w:t xml:space="preserve">import share from ~22% (Q1'25) to ~15%</w:t>
      </w:r>
      <w:r>
        <w:t xml:space="preserve">. Watch for updates on</w:t>
      </w:r>
      <w:r>
        <w:t xml:space="preserve"> </w:t>
      </w:r>
      <w:r>
        <w:rPr>
          <w:b/>
          <w:bCs/>
        </w:rPr>
        <w:t xml:space="preserve">USMCA / Canadian subsidy</w:t>
      </w:r>
      <w:r>
        <w:t xml:space="preserve"> </w:t>
      </w:r>
      <w:r>
        <w:t xml:space="preserve">concerns and any new foreign capacity being drawn into the U.S.</w:t>
      </w:r>
    </w:p>
    <w:p>
      <w:pPr>
        <w:pStyle w:val="Compact"/>
        <w:numPr>
          <w:ilvl w:val="0"/>
          <w:numId w:val="1003"/>
        </w:numPr>
      </w:pPr>
      <w:r>
        <w:rPr>
          <w:b/>
          <w:bCs/>
        </w:rPr>
        <w:t xml:space="preserve">Growth-project ramp &amp; pre-op drag.</w:t>
      </w:r>
      <w:r>
        <w:t xml:space="preserve"> </w:t>
      </w:r>
      <w:r>
        <w:t xml:space="preserve">**Pre-operating/start-up costs were</w:t>
      </w:r>
      <w:r>
        <w:t xml:space="preserve"> </w:t>
      </w:r>
      <m:oMath>
        <m:r>
          <m:t>108</m:t>
        </m:r>
        <m:r>
          <m:t>M</m:t>
        </m:r>
        <m:r>
          <m:t>i</m:t>
        </m:r>
        <m:r>
          <m:t>n</m:t>
        </m:r>
        <m:r>
          <m:t>Q</m:t>
        </m:r>
        <m:r>
          <m:t>1</m:t>
        </m:r>
        <m:r>
          <m:t>a</m:t>
        </m:r>
        <m:r>
          <m:t>n</m:t>
        </m:r>
        <m:r>
          <m:t>d</m:t>
        </m:r>
        <m:r>
          <m:t>a</m:t>
        </m:r>
        <m:r>
          <m:t>r</m:t>
        </m:r>
        <m:r>
          <m:t>e</m:t>
        </m:r>
        <m:r>
          <m:t>s</m:t>
        </m:r>
        <m:r>
          <m:t>e</m:t>
        </m:r>
        <m:r>
          <m:t>t</m:t>
        </m:r>
        <m:r>
          <m:t>t</m:t>
        </m:r>
        <m:r>
          <m:t>o</m:t>
        </m:r>
        <m:r>
          <m:t>r</m:t>
        </m:r>
        <m:r>
          <m:t>i</m:t>
        </m:r>
        <m:r>
          <m:t>s</m:t>
        </m:r>
        <m:r>
          <m:t>e</m:t>
        </m:r>
        <m:r>
          <m:rPr>
            <m:sty m:val="p"/>
          </m:rPr>
          <m:t>*</m:t>
        </m:r>
        <m:r>
          <m:rPr>
            <m:sty m:val="p"/>
          </m:rPr>
          <m:t>*</m:t>
        </m:r>
        <m:r>
          <m:t>t</m:t>
        </m:r>
        <m:r>
          <m:t>h</m:t>
        </m:r>
        <m:r>
          <m:t>r</m:t>
        </m:r>
        <m:r>
          <m:t>o</m:t>
        </m:r>
        <m:r>
          <m:t>u</m:t>
        </m:r>
        <m:r>
          <m:t>g</m:t>
        </m:r>
        <m:r>
          <m:t>h</m:t>
        </m:r>
        <m:r>
          <m:t>2026</m:t>
        </m:r>
        <m:r>
          <m:rPr>
            <m:sty m:val="p"/>
          </m:rPr>
          <m:t>.</m:t>
        </m:r>
        <m:r>
          <m:t>T</m:t>
        </m:r>
        <m:r>
          <m:t>h</m:t>
        </m:r>
        <m:r>
          <m:t>e</m:t>
        </m:r>
        <m:r>
          <m:rPr>
            <m:sty m:val="p"/>
          </m:rPr>
          <m:t>*</m:t>
        </m:r>
        <m:r>
          <m:rPr>
            <m:sty m:val="p"/>
          </m:rPr>
          <m:t>*</m:t>
        </m:r>
        <m:r>
          <m:t>W</m:t>
        </m:r>
        <m:r>
          <m:t>e</m:t>
        </m:r>
        <m:r>
          <m:t>s</m:t>
        </m:r>
        <m:r>
          <m:t>t</m:t>
        </m:r>
        <m:r>
          <m:t>V</m:t>
        </m:r>
        <m:r>
          <m:t>i</m:t>
        </m:r>
        <m:r>
          <m:t>r</m:t>
        </m:r>
        <m:r>
          <m:t>g</m:t>
        </m:r>
        <m:r>
          <m:t>i</m:t>
        </m:r>
        <m:r>
          <m:t>n</m:t>
        </m:r>
        <m:r>
          <m:t>i</m:t>
        </m:r>
        <m:r>
          <m:t>a</m:t>
        </m:r>
        <m:r>
          <m:t>s</m:t>
        </m:r>
        <m:r>
          <m:t>h</m:t>
        </m:r>
        <m:r>
          <m:t>e</m:t>
        </m:r>
        <m:r>
          <m:t>e</m:t>
        </m:r>
        <m:r>
          <m:t>t</m:t>
        </m:r>
        <m:r>
          <m:t>m</m:t>
        </m:r>
        <m:r>
          <m:t>i</m:t>
        </m:r>
        <m:r>
          <m:t>l</m:t>
        </m:r>
        <m:r>
          <m:t>l</m:t>
        </m:r>
        <m:r>
          <m:rPr>
            <m:sty m:val="p"/>
          </m:rPr>
          <m:t>*</m:t>
        </m:r>
        <m:r>
          <m:rPr>
            <m:sty m:val="p"/>
          </m:rPr>
          <m:t>*</m:t>
        </m:r>
        <m:r>
          <m:rPr>
            <m:sty m:val="p"/>
          </m:rPr>
          <m:t>(</m:t>
        </m:r>
        <m:r>
          <m:t> </m:t>
        </m:r>
      </m:oMath>
      <w:r>
        <w:t xml:space="preserve">3B+ project) is ~85% built, commissioning through year-end, commercial shipments ramping in early 2027 toward ~50% utilization by end-2027. Other ramps: Berkeley 2nd galv line, Indiana/Utah towers, Kingman melt shop, Lexington micro-mill.</w:t>
      </w:r>
    </w:p>
    <w:p>
      <w:r>
        <w:pict>
          <v:rect style="width:0;height:1.5pt" o:hralign="center" o:hrstd="t" o:hr="t"/>
        </w:pict>
      </w:r>
    </w:p>
    <w:bookmarkEnd w:id="12"/>
    <w:bookmarkStart w:id="13" w:name="capital-allocation--balance-sheet"/>
    <w:p>
      <w:pPr>
        <w:pStyle w:val="Heading2"/>
      </w:pPr>
      <w:r>
        <w:t xml:space="preserve">Capital Allocation &amp; Balance Sheet</w:t>
      </w:r>
    </w:p>
    <w:p>
      <w:pPr>
        <w:pStyle w:val="Compact"/>
        <w:numPr>
          <w:ilvl w:val="0"/>
          <w:numId w:val="1004"/>
        </w:numPr>
      </w:pPr>
      <w:r>
        <w:t xml:space="preserve">**New</w:t>
      </w:r>
      <w:r>
        <w:t xml:space="preserve"> </w:t>
      </w:r>
      <m:oMath>
        <m:r>
          <m:t>4.0</m:t>
        </m:r>
        <m:r>
          <m:t>B</m:t>
        </m:r>
        <m:r>
          <m:t>b</m:t>
        </m:r>
        <m:r>
          <m:t>u</m:t>
        </m:r>
        <m:r>
          <m:t>y</m:t>
        </m:r>
        <m:r>
          <m:t>b</m:t>
        </m:r>
        <m:r>
          <m:t>a</m:t>
        </m:r>
        <m:r>
          <m:t>c</m:t>
        </m:r>
        <m:r>
          <m:t>k</m:t>
        </m:r>
        <m:r>
          <m:rPr>
            <m:sty m:val="p"/>
          </m:rPr>
          <m:t>*</m:t>
        </m:r>
        <m:r>
          <m:rPr>
            <m:sty m:val="p"/>
          </m:rPr>
          <m:t>*</m:t>
        </m:r>
        <m:r>
          <m:t>a</m:t>
        </m:r>
        <m:r>
          <m:t>u</m:t>
        </m:r>
        <m:r>
          <m:t>t</m:t>
        </m:r>
        <m:r>
          <m:t>h</m:t>
        </m:r>
        <m:r>
          <m:t>o</m:t>
        </m:r>
        <m:r>
          <m:t>r</m:t>
        </m:r>
        <m:r>
          <m:t>i</m:t>
        </m:r>
        <m:r>
          <m:t>z</m:t>
        </m:r>
        <m:r>
          <m:t>e</m:t>
        </m:r>
        <m:r>
          <m:t>d</m:t>
        </m:r>
        <m:r>
          <m:t>F</m:t>
        </m:r>
        <m:r>
          <m:t>e</m:t>
        </m:r>
        <m:r>
          <m:t>b</m:t>
        </m:r>
        <m:r>
          <m:t>2026</m:t>
        </m:r>
        <m:r>
          <m:rPr>
            <m:sty m:val="p"/>
          </m:rPr>
          <m:t>;</m:t>
        </m:r>
        <m:r>
          <m:t> </m:t>
        </m:r>
      </m:oMath>
      <w:r>
        <w:t xml:space="preserve">630M returned to shareholders YTD through June 17 (repurchases + dividends), including</w:t>
      </w:r>
      <w:r>
        <w:t xml:space="preserve"> </w:t>
      </w:r>
      <w:r>
        <w:rPr>
          <w:b/>
          <w:bCs/>
        </w:rPr>
        <w:t xml:space="preserve">1.12M shares at ~$223.47</w:t>
      </w:r>
      <w:r>
        <w:t xml:space="preserve"> </w:t>
      </w:r>
      <w:r>
        <w:t xml:space="preserve">avg in Q2.</w:t>
      </w:r>
    </w:p>
    <w:p>
      <w:pPr>
        <w:pStyle w:val="Compact"/>
        <w:numPr>
          <w:ilvl w:val="0"/>
          <w:numId w:val="1004"/>
        </w:numPr>
      </w:pPr>
      <w:r>
        <w:t xml:space="preserve">Long-term commitment:</w:t>
      </w:r>
      <w:r>
        <w:t xml:space="preserve"> </w:t>
      </w:r>
      <w:r>
        <w:rPr>
          <w:b/>
          <w:bCs/>
        </w:rPr>
        <w:t xml:space="preserve">≥40% of net earnings</w:t>
      </w:r>
      <w:r>
        <w:t xml:space="preserve"> </w:t>
      </w:r>
      <w:r>
        <w:t xml:space="preserve">returned annually (recent years closer to ~60%); Q1 ran ~34% due to the earnings beat, so expect the payout ratio to climb through the year. Buybacks remain the preferred vehicle over special dividends.</w:t>
      </w:r>
    </w:p>
    <w:p>
      <w:pPr>
        <w:pStyle w:val="Compact"/>
        <w:numPr>
          <w:ilvl w:val="0"/>
          <w:numId w:val="1004"/>
        </w:numPr>
      </w:pPr>
      <w:r>
        <w:rPr>
          <w:b/>
          <w:bCs/>
        </w:rPr>
        <w:t xml:space="preserve">FCF inflection:</w:t>
      </w:r>
      <w:r>
        <w:t xml:space="preserve"> </w:t>
      </w:r>
      <w:r>
        <w:t xml:space="preserve">CapEx (~$2.5B FY plan) is moderating as projects finish while operating cash flow rises — a key part of the bull thesis.</w:t>
      </w:r>
    </w:p>
    <w:p>
      <w:pPr>
        <w:pStyle w:val="Compact"/>
        <w:numPr>
          <w:ilvl w:val="0"/>
          <w:numId w:val="1004"/>
        </w:numPr>
      </w:pPr>
      <w:r>
        <w:rPr>
          <w:b/>
          <w:bCs/>
        </w:rPr>
        <w:t xml:space="preserve">Fortress balance sheet:</w:t>
      </w:r>
      <w:r>
        <w:t xml:space="preserve"> </w:t>
      </w:r>
      <w:r>
        <w:t xml:space="preserve">~$2.48B cash/ST investments, undrawn $2.25B revolver (to 2030), total debt/cap ~24%, sector-best</w:t>
      </w:r>
      <w:r>
        <w:t xml:space="preserve"> </w:t>
      </w:r>
      <w:r>
        <w:rPr>
          <w:b/>
          <w:bCs/>
        </w:rPr>
        <w:t xml:space="preserve">A-/A-/A3</w:t>
      </w:r>
      <w:r>
        <w:t xml:space="preserve"> </w:t>
      </w:r>
      <w:r>
        <w:t xml:space="preserve">ratings.</w:t>
      </w:r>
    </w:p>
    <w:p>
      <w:r>
        <w:pict>
          <v:rect style="width:0;height:1.5pt" o:hralign="center" o:hrstd="t" o:hr="t"/>
        </w:pict>
      </w:r>
    </w:p>
    <w:bookmarkEnd w:id="13"/>
    <w:bookmarkStart w:id="14" w:name="other-items-to-note"/>
    <w:p>
      <w:pPr>
        <w:pStyle w:val="Heading2"/>
      </w:pPr>
      <w:r>
        <w:t xml:space="preserve">Other Items to Note</w:t>
      </w:r>
    </w:p>
    <w:p>
      <w:pPr>
        <w:pStyle w:val="Compact"/>
        <w:numPr>
          <w:ilvl w:val="0"/>
          <w:numId w:val="1005"/>
        </w:numPr>
      </w:pPr>
      <w:r>
        <w:rPr>
          <w:b/>
          <w:bCs/>
        </w:rPr>
        <w:t xml:space="preserve">212th consecutive quarterly dividend</w:t>
      </w:r>
      <w:r>
        <w:t xml:space="preserve"> </w:t>
      </w:r>
      <w:r>
        <w:t xml:space="preserve">($0.56/share) reflects Nucor's long dividend-growth track record.</w:t>
      </w:r>
    </w:p>
    <w:p>
      <w:pPr>
        <w:pStyle w:val="Compact"/>
        <w:numPr>
          <w:ilvl w:val="0"/>
          <w:numId w:val="1005"/>
        </w:numPr>
      </w:pPr>
      <w:r>
        <w:rPr>
          <w:b/>
          <w:bCs/>
        </w:rPr>
        <w:t xml:space="preserve">Management transition:</w:t>
      </w:r>
      <w:r>
        <w:t xml:space="preserve"> </w:t>
      </w:r>
      <w:r>
        <w:t xml:space="preserve">Jack Sullivan became CFO (March); EVP-Commercial Dan Needham retired in June with a ~</w:t>
      </w:r>
      <m:oMath>
        <m:r>
          <m:t>6.1</m:t>
        </m:r>
        <m:r>
          <m:t>M</m:t>
        </m:r>
        <m:r>
          <m:t>s</m:t>
        </m:r>
        <m:r>
          <m:t>e</m:t>
        </m:r>
        <m:r>
          <m:t>p</m:t>
        </m:r>
        <m:r>
          <m:t>a</m:t>
        </m:r>
        <m:r>
          <m:t>r</m:t>
        </m:r>
        <m:r>
          <m:t>a</m:t>
        </m:r>
        <m:r>
          <m:t>t</m:t>
        </m:r>
        <m:r>
          <m:t>i</m:t>
        </m:r>
        <m:r>
          <m:t>o</m:t>
        </m:r>
        <m:r>
          <m:t>n</m:t>
        </m:r>
        <m:r>
          <m:t>p</m:t>
        </m:r>
        <m:r>
          <m:t>a</m:t>
        </m:r>
        <m:r>
          <m:t>c</m:t>
        </m:r>
        <m:r>
          <m:t>k</m:t>
        </m:r>
        <m:r>
          <m:t>a</m:t>
        </m:r>
        <m:r>
          <m:t>g</m:t>
        </m:r>
        <m:r>
          <m:t>e</m:t>
        </m:r>
        <m:r>
          <m:t>a</m:t>
        </m:r>
        <m:r>
          <m:t>n</m:t>
        </m:r>
        <m:r>
          <m:t>d</m:t>
        </m:r>
        <m:r>
          <m:t>r</m:t>
        </m:r>
        <m:r>
          <m:t>e</m:t>
        </m:r>
        <m:r>
          <m:t>c</m:t>
        </m:r>
        <m:r>
          <m:t>e</m:t>
        </m:r>
        <m:r>
          <m:t>n</m:t>
        </m:r>
        <m:r>
          <m:t>t</m:t>
        </m:r>
        <m:r>
          <m:t>l</m:t>
        </m:r>
        <m:r>
          <m:t>y</m:t>
        </m:r>
        <m:r>
          <m:t>f</m:t>
        </m:r>
        <m:r>
          <m:t>i</m:t>
        </m:r>
        <m:r>
          <m:t>l</m:t>
        </m:r>
        <m:r>
          <m:t>e</m:t>
        </m:r>
        <m:r>
          <m:t>d</m:t>
        </m:r>
        <m:r>
          <m:t>i</m:t>
        </m:r>
        <m:r>
          <m:t>n</m:t>
        </m:r>
        <m:r>
          <m:t>t</m:t>
        </m:r>
        <m:r>
          <m:t>e</m:t>
        </m:r>
        <m:r>
          <m:t>n</m:t>
        </m:r>
        <m:r>
          <m:t>t</m:t>
        </m:r>
        <m:r>
          <m:t>t</m:t>
        </m:r>
        <m:r>
          <m:t>o</m:t>
        </m:r>
        <m:r>
          <m:t>s</m:t>
        </m:r>
        <m:r>
          <m:t>e</m:t>
        </m:r>
        <m:r>
          <m:t>l</m:t>
        </m:r>
        <m:r>
          <m:t>l</m:t>
        </m:r>
        <m:r>
          <m:t> </m:t>
        </m:r>
      </m:oMath>
      <w:r>
        <w:t xml:space="preserve">4.2M of stock — routine post-retirement, but worth flagging.</w:t>
      </w:r>
    </w:p>
    <w:p>
      <w:pPr>
        <w:pStyle w:val="Compact"/>
        <w:numPr>
          <w:ilvl w:val="0"/>
          <w:numId w:val="1005"/>
        </w:numPr>
      </w:pPr>
      <w:r>
        <w:t xml:space="preserve">Sell-side sentiment is broadly bullish (consensus skews "Strong Buy").</w:t>
      </w:r>
    </w:p>
    <w:p>
      <w:r>
        <w:pict>
          <v:rect style="width:0;height:1.5pt" o:hralign="center" o:hrstd="t" o:hr="t"/>
        </w:pict>
      </w:r>
    </w:p>
    <w:bookmarkEnd w:id="14"/>
    <w:bookmarkStart w:id="15" w:name="bottom-line"/>
    <w:p>
      <w:pPr>
        <w:pStyle w:val="Heading2"/>
      </w:pPr>
      <w:r>
        <w:t xml:space="preserve">Bottom Line</w:t>
      </w:r>
    </w:p>
    <w:p>
      <w:pPr>
        <w:pStyle w:val="FirstParagraph"/>
      </w:pPr>
      <w:r>
        <w:t xml:space="preserve">With guidance already out, the bar for the headline number is largely set — the market has priced in a strong quarter. The read-through investors should focus on:</w:t>
      </w:r>
    </w:p>
    <w:p>
      <w:pPr>
        <w:pStyle w:val="Compact"/>
        <w:numPr>
          <w:ilvl w:val="0"/>
          <w:numId w:val="1006"/>
        </w:numPr>
      </w:pPr>
      <w:r>
        <w:rPr>
          <w:b/>
          <w:bCs/>
        </w:rPr>
        <w:t xml:space="preserve">Quality of the beat/miss vs. the</w:t>
      </w:r>
      <w:r>
        <w:rPr>
          <w:b/>
          <w:bCs/>
        </w:rPr>
        <w:t xml:space="preserve"> </w:t>
      </w:r>
      <m:oMath>
        <m:r>
          <m:t>4.50</m:t>
        </m:r>
        <m:r>
          <m:rPr>
            <m:sty m:val="p"/>
          </m:rPr>
          <m:t>–</m:t>
        </m:r>
      </m:oMath>
      <w:r>
        <w:rPr>
          <w:b/>
          <w:bCs/>
        </w:rPr>
        <w:t xml:space="preserve">4.60 adjusted range</w:t>
      </w:r>
      <w:r>
        <w:t xml:space="preserve"> </w:t>
      </w:r>
      <w:r>
        <w:t xml:space="preserve">(how much is the one-time ~$130M raw-materials refund vs. real spread expansion),</w:t>
      </w:r>
    </w:p>
    <w:p>
      <w:pPr>
        <w:pStyle w:val="Compact"/>
        <w:numPr>
          <w:ilvl w:val="0"/>
          <w:numId w:val="1006"/>
        </w:numPr>
      </w:pPr>
      <w:r>
        <w:rPr>
          <w:b/>
          <w:bCs/>
        </w:rPr>
        <w:t xml:space="preserve">Forward pricing/backlog commentary</w:t>
      </w:r>
      <w:r>
        <w:t xml:space="preserve"> </w:t>
      </w:r>
      <w:r>
        <w:t xml:space="preserve">confirming that sheet price gains keep flowing into H2,</w:t>
      </w:r>
    </w:p>
    <w:p>
      <w:pPr>
        <w:pStyle w:val="Compact"/>
        <w:numPr>
          <w:ilvl w:val="0"/>
          <w:numId w:val="1006"/>
        </w:numPr>
      </w:pPr>
      <w:r>
        <w:rPr>
          <w:b/>
          <w:bCs/>
        </w:rPr>
        <w:t xml:space="preserve">Cost trajectory</w:t>
      </w:r>
      <w:r>
        <w:t xml:space="preserve"> </w:t>
      </w:r>
      <w:r>
        <w:t xml:space="preserve">(scrap, energy, and rising pre-op costs), and</w:t>
      </w:r>
    </w:p>
    <w:p>
      <w:pPr>
        <w:pStyle w:val="Compact"/>
        <w:numPr>
          <w:ilvl w:val="0"/>
          <w:numId w:val="1006"/>
        </w:numPr>
      </w:pPr>
      <w:r>
        <w:rPr>
          <w:b/>
          <w:bCs/>
        </w:rPr>
        <w:t xml:space="preserve">Capital-return cadence</w:t>
      </w:r>
      <w:r>
        <w:t xml:space="preserve"> </w:t>
      </w:r>
      <w:r>
        <w:t xml:space="preserve">as FCF inflects.</w:t>
      </w:r>
    </w:p>
    <w:p>
      <w:pPr>
        <w:pStyle w:val="FirstParagraph"/>
      </w:pPr>
      <w:r>
        <w:t xml:space="preserve">Given the stock's ~46% YTD run into the print, the risk is asymmetric around</w:t>
      </w:r>
      <w:r>
        <w:t xml:space="preserve"> </w:t>
      </w:r>
      <w:r>
        <w:rPr>
          <w:b/>
          <w:bCs/>
        </w:rPr>
        <w:t xml:space="preserve">tone on the second half and 2027 ramp economics</w:t>
      </w:r>
      <w:r>
        <w:t xml:space="preserve"> </w:t>
      </w:r>
      <w:r>
        <w:t xml:space="preserve">more than the Q2 number itself. A confident reiteration of accelerating earnings power (and continued buybacks) is what bulls need to see; any caution on demand breadth, pricing sustainability, or pre-op cost drag would be the more likely source of a "sell-the-news" reaction.</w:t>
      </w:r>
    </w:p>
    <w:p>
      <w:pPr>
        <w:pStyle w:val="BodyText"/>
      </w:pPr>
      <w:r>
        <w:rPr>
          <w:i/>
          <w:iCs/>
        </w:rPr>
        <w:t xml:space="preserve">This preview is for informational purposes and is not investment advice.</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2026-07-27T00:55:51Z</dcterms:created>
  <dcterms:modified xsi:type="dcterms:W3CDTF">2026-07-27T00:55:51Z</dcterms:modified>
</cp:coreProperties>
</file>

<file path=docProps/custom.xml><?xml version="1.0" encoding="utf-8"?>
<Properties xmlns="http://schemas.openxmlformats.org/officeDocument/2006/custom-properties" xmlns:vt="http://schemas.openxmlformats.org/officeDocument/2006/docPropsVTypes"/>
</file>